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52" w:rsidRPr="001572E3" w:rsidRDefault="00722F52" w:rsidP="00722F52">
      <w:pPr>
        <w:autoSpaceDE w:val="0"/>
        <w:autoSpaceDN w:val="0"/>
        <w:adjustRightInd w:val="0"/>
        <w:spacing w:after="240"/>
        <w:rPr>
          <w:rFonts w:cs="Arial"/>
          <w:b/>
          <w:bCs/>
          <w:sz w:val="36"/>
          <w:szCs w:val="36"/>
        </w:rPr>
      </w:pPr>
      <w:r w:rsidRPr="001572E3">
        <w:rPr>
          <w:rFonts w:cs="Arial"/>
          <w:b/>
          <w:bCs/>
          <w:sz w:val="36"/>
          <w:szCs w:val="36"/>
        </w:rPr>
        <w:t>Question Scoring Guidance for Selection Criteria</w:t>
      </w:r>
    </w:p>
    <w:p w:rsidR="00722F52" w:rsidRPr="00722F52" w:rsidRDefault="00722F52" w:rsidP="001572E3">
      <w:pPr>
        <w:autoSpaceDE w:val="0"/>
        <w:autoSpaceDN w:val="0"/>
        <w:adjustRightInd w:val="0"/>
        <w:spacing w:after="240"/>
        <w:jc w:val="both"/>
        <w:rPr>
          <w:rFonts w:cs="Arial"/>
          <w:bCs/>
          <w:sz w:val="24"/>
        </w:rPr>
      </w:pPr>
      <w:r w:rsidRPr="00722F52">
        <w:rPr>
          <w:rFonts w:cs="Arial"/>
          <w:bCs/>
          <w:sz w:val="24"/>
        </w:rPr>
        <w:t xml:space="preserve">The full </w:t>
      </w:r>
      <w:r>
        <w:rPr>
          <w:rFonts w:cs="Arial"/>
          <w:bCs/>
          <w:sz w:val="24"/>
        </w:rPr>
        <w:t xml:space="preserve">tender </w:t>
      </w:r>
      <w:r w:rsidRPr="00722F52">
        <w:rPr>
          <w:rFonts w:cs="Arial"/>
          <w:bCs/>
          <w:sz w:val="24"/>
        </w:rPr>
        <w:t>scoring methodology</w:t>
      </w:r>
      <w:r w:rsidR="001572E3">
        <w:rPr>
          <w:rFonts w:cs="Arial"/>
          <w:bCs/>
          <w:sz w:val="24"/>
        </w:rPr>
        <w:t xml:space="preserve"> associated with the Selection criteria</w:t>
      </w:r>
      <w:r>
        <w:rPr>
          <w:rFonts w:cs="Arial"/>
          <w:bCs/>
          <w:sz w:val="24"/>
        </w:rPr>
        <w:t xml:space="preserve">, including the </w:t>
      </w:r>
      <w:r w:rsidRPr="00722F52">
        <w:rPr>
          <w:rFonts w:cs="Arial"/>
          <w:bCs/>
          <w:sz w:val="24"/>
        </w:rPr>
        <w:t>weighting</w:t>
      </w:r>
      <w:r>
        <w:rPr>
          <w:rFonts w:cs="Arial"/>
          <w:bCs/>
          <w:sz w:val="24"/>
        </w:rPr>
        <w:t xml:space="preserve">s for each question, </w:t>
      </w:r>
      <w:r w:rsidRPr="00722F52">
        <w:rPr>
          <w:rFonts w:cs="Arial"/>
          <w:bCs/>
          <w:sz w:val="24"/>
        </w:rPr>
        <w:t xml:space="preserve">will be included in the relevant Invitation to Tender </w:t>
      </w:r>
      <w:r>
        <w:rPr>
          <w:rFonts w:cs="Arial"/>
          <w:bCs/>
          <w:sz w:val="24"/>
        </w:rPr>
        <w:t xml:space="preserve">(ITT) </w:t>
      </w:r>
      <w:r w:rsidRPr="00722F52">
        <w:rPr>
          <w:rFonts w:cs="Arial"/>
          <w:bCs/>
          <w:sz w:val="24"/>
        </w:rPr>
        <w:t>document</w:t>
      </w:r>
      <w:r w:rsidR="001572E3">
        <w:rPr>
          <w:rFonts w:cs="Arial"/>
          <w:bCs/>
          <w:sz w:val="24"/>
        </w:rPr>
        <w:t>.</w:t>
      </w:r>
    </w:p>
    <w:p w:rsidR="00722F52" w:rsidRDefault="00722F52" w:rsidP="00146E96">
      <w:pPr>
        <w:autoSpaceDE w:val="0"/>
        <w:autoSpaceDN w:val="0"/>
        <w:adjustRightInd w:val="0"/>
        <w:spacing w:after="240"/>
        <w:rPr>
          <w:rFonts w:cs="Arial"/>
          <w:b/>
          <w:bCs/>
          <w:sz w:val="28"/>
          <w:szCs w:val="28"/>
          <w:u w:val="single"/>
        </w:rPr>
      </w:pPr>
    </w:p>
    <w:p w:rsidR="00146E96" w:rsidRPr="001572E3" w:rsidRDefault="00146E96" w:rsidP="001572E3">
      <w:pPr>
        <w:autoSpaceDE w:val="0"/>
        <w:autoSpaceDN w:val="0"/>
        <w:adjustRightInd w:val="0"/>
        <w:spacing w:after="240"/>
        <w:jc w:val="both"/>
        <w:rPr>
          <w:rFonts w:cs="Arial"/>
          <w:b/>
          <w:bCs/>
          <w:sz w:val="28"/>
          <w:szCs w:val="28"/>
          <w:u w:val="single"/>
        </w:rPr>
      </w:pPr>
      <w:r w:rsidRPr="001572E3">
        <w:rPr>
          <w:rFonts w:cs="Arial"/>
          <w:b/>
          <w:bCs/>
          <w:sz w:val="28"/>
          <w:szCs w:val="28"/>
          <w:u w:val="single"/>
        </w:rPr>
        <w:t>Selection</w:t>
      </w:r>
      <w:r w:rsidR="00CC0A3D" w:rsidRPr="001572E3">
        <w:rPr>
          <w:rFonts w:cs="Arial"/>
          <w:b/>
          <w:bCs/>
          <w:sz w:val="28"/>
          <w:szCs w:val="28"/>
          <w:u w:val="single"/>
        </w:rPr>
        <w:t xml:space="preserve"> Stage</w:t>
      </w:r>
      <w:r w:rsidR="001572E3" w:rsidRPr="001572E3">
        <w:rPr>
          <w:rFonts w:cs="Arial"/>
          <w:b/>
          <w:bCs/>
          <w:sz w:val="28"/>
          <w:szCs w:val="28"/>
          <w:u w:val="single"/>
        </w:rPr>
        <w:t xml:space="preserve"> (SPDS)</w:t>
      </w:r>
    </w:p>
    <w:p w:rsidR="00722F52" w:rsidRPr="001572E3" w:rsidRDefault="00722F52" w:rsidP="001572E3">
      <w:pPr>
        <w:autoSpaceDE w:val="0"/>
        <w:autoSpaceDN w:val="0"/>
        <w:adjustRightInd w:val="0"/>
        <w:spacing w:after="240"/>
        <w:jc w:val="both"/>
        <w:rPr>
          <w:rFonts w:cs="Arial"/>
          <w:bCs/>
          <w:sz w:val="24"/>
        </w:rPr>
      </w:pPr>
      <w:r w:rsidRPr="001572E3">
        <w:rPr>
          <w:rFonts w:cs="Arial"/>
          <w:bCs/>
          <w:sz w:val="24"/>
        </w:rPr>
        <w:t xml:space="preserve">The undernoted scoring guidance is applicable to all </w:t>
      </w:r>
      <w:r w:rsidR="00E2587E" w:rsidRPr="001572E3">
        <w:rPr>
          <w:rFonts w:cs="Arial"/>
          <w:bCs/>
          <w:sz w:val="24"/>
        </w:rPr>
        <w:t xml:space="preserve">scored </w:t>
      </w:r>
      <w:r w:rsidRPr="001572E3">
        <w:rPr>
          <w:rFonts w:cs="Arial"/>
          <w:bCs/>
          <w:sz w:val="24"/>
        </w:rPr>
        <w:t xml:space="preserve">questions contained within the </w:t>
      </w:r>
      <w:r w:rsidR="00E2587E" w:rsidRPr="001572E3">
        <w:rPr>
          <w:rFonts w:cs="Arial"/>
          <w:bCs/>
          <w:sz w:val="24"/>
        </w:rPr>
        <w:t xml:space="preserve">Technical and Professional Ability section within the </w:t>
      </w:r>
      <w:r w:rsidR="001572E3" w:rsidRPr="001572E3">
        <w:rPr>
          <w:bCs/>
          <w:sz w:val="24"/>
        </w:rPr>
        <w:t>Single Procurement Document Scotland (</w:t>
      </w:r>
      <w:bookmarkStart w:id="0" w:name="_GoBack"/>
      <w:bookmarkEnd w:id="0"/>
      <w:r w:rsidRPr="001572E3">
        <w:rPr>
          <w:rFonts w:cs="Arial"/>
          <w:bCs/>
          <w:sz w:val="24"/>
        </w:rPr>
        <w:t>SPD</w:t>
      </w:r>
      <w:r w:rsidR="00E2587E" w:rsidRPr="001572E3">
        <w:rPr>
          <w:rFonts w:cs="Arial"/>
          <w:bCs/>
          <w:sz w:val="24"/>
        </w:rPr>
        <w:t>S</w:t>
      </w:r>
      <w:r w:rsidR="001572E3">
        <w:rPr>
          <w:rFonts w:cs="Arial"/>
          <w:bCs/>
          <w:sz w:val="24"/>
        </w:rPr>
        <w:t>)</w:t>
      </w:r>
      <w:r w:rsidRPr="001572E3">
        <w:rPr>
          <w:rFonts w:cs="Arial"/>
          <w:bCs/>
          <w:sz w:val="24"/>
        </w:rPr>
        <w:t>.</w:t>
      </w:r>
    </w:p>
    <w:p w:rsidR="00146E96" w:rsidRPr="001572E3" w:rsidRDefault="00722F52" w:rsidP="001572E3">
      <w:pPr>
        <w:autoSpaceDE w:val="0"/>
        <w:autoSpaceDN w:val="0"/>
        <w:adjustRightInd w:val="0"/>
        <w:spacing w:after="240"/>
        <w:jc w:val="both"/>
        <w:rPr>
          <w:rFonts w:cs="Arial"/>
          <w:bCs/>
          <w:sz w:val="24"/>
        </w:rPr>
      </w:pPr>
      <w:r w:rsidRPr="001572E3">
        <w:rPr>
          <w:rFonts w:cs="Arial"/>
          <w:b/>
          <w:bCs/>
          <w:sz w:val="24"/>
          <w:u w:val="single"/>
        </w:rPr>
        <w:t>Note</w:t>
      </w:r>
      <w:r w:rsidRPr="001572E3">
        <w:rPr>
          <w:rFonts w:cs="Arial"/>
          <w:bCs/>
          <w:sz w:val="24"/>
        </w:rPr>
        <w:t xml:space="preserve">: </w:t>
      </w:r>
      <w:r w:rsidR="001572E3">
        <w:rPr>
          <w:rFonts w:cs="Arial"/>
          <w:bCs/>
          <w:sz w:val="24"/>
        </w:rPr>
        <w:t>t</w:t>
      </w:r>
      <w:r w:rsidR="00E2587E" w:rsidRPr="001572E3">
        <w:rPr>
          <w:rFonts w:cs="Arial"/>
          <w:bCs/>
          <w:sz w:val="24"/>
        </w:rPr>
        <w:t>he percentage pass threshold for the above section is</w:t>
      </w:r>
      <w:r w:rsidRPr="001572E3">
        <w:rPr>
          <w:rFonts w:cs="Arial"/>
          <w:bCs/>
          <w:sz w:val="24"/>
        </w:rPr>
        <w:t xml:space="preserve"> included both in the Tender Contract Notice and the related I</w:t>
      </w:r>
      <w:r w:rsidR="001572E3">
        <w:rPr>
          <w:rFonts w:cs="Arial"/>
          <w:bCs/>
          <w:sz w:val="24"/>
        </w:rPr>
        <w:t xml:space="preserve">TT </w:t>
      </w:r>
      <w:r w:rsidRPr="001572E3">
        <w:rPr>
          <w:rFonts w:cs="Arial"/>
          <w:bCs/>
          <w:sz w:val="24"/>
        </w:rPr>
        <w:t>document.</w:t>
      </w:r>
      <w:r w:rsidR="00E2587E" w:rsidRPr="001572E3">
        <w:rPr>
          <w:rFonts w:cs="Arial"/>
          <w:bCs/>
          <w:sz w:val="24"/>
        </w:rPr>
        <w:t xml:space="preserve">  The weightings for eac</w:t>
      </w:r>
      <w:r w:rsidR="001572E3">
        <w:rPr>
          <w:rFonts w:cs="Arial"/>
          <w:bCs/>
          <w:sz w:val="24"/>
        </w:rPr>
        <w:t>h question within the section are</w:t>
      </w:r>
      <w:r w:rsidR="00E2587E" w:rsidRPr="001572E3">
        <w:rPr>
          <w:rFonts w:cs="Arial"/>
          <w:bCs/>
          <w:sz w:val="24"/>
        </w:rPr>
        <w:t xml:space="preserve"> included within the </w:t>
      </w:r>
      <w:r w:rsidR="001572E3">
        <w:rPr>
          <w:rFonts w:cs="Arial"/>
          <w:bCs/>
          <w:sz w:val="24"/>
        </w:rPr>
        <w:t>ITT</w:t>
      </w:r>
      <w:r w:rsidR="00E2587E" w:rsidRPr="001572E3">
        <w:rPr>
          <w:rFonts w:cs="Arial"/>
          <w:bCs/>
          <w:sz w:val="24"/>
        </w:rPr>
        <w:t xml:space="preserve"> document.</w:t>
      </w:r>
    </w:p>
    <w:p w:rsidR="00146E96" w:rsidRDefault="00146E96" w:rsidP="00146E96">
      <w:pPr>
        <w:autoSpaceDE w:val="0"/>
        <w:autoSpaceDN w:val="0"/>
        <w:adjustRightInd w:val="0"/>
        <w:rPr>
          <w:rFonts w:cs="Arial"/>
          <w:color w:val="000000"/>
        </w:rPr>
      </w:pPr>
    </w:p>
    <w:p w:rsidR="001572E3" w:rsidRDefault="001572E3" w:rsidP="00146E96">
      <w:pPr>
        <w:autoSpaceDE w:val="0"/>
        <w:autoSpaceDN w:val="0"/>
        <w:adjustRightInd w:val="0"/>
        <w:rPr>
          <w:rFonts w:cs="Arial"/>
          <w:color w:val="000000"/>
        </w:rPr>
      </w:pPr>
    </w:p>
    <w:p w:rsidR="00B37DEF" w:rsidRDefault="00B37DEF" w:rsidP="00146E96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099"/>
      </w:tblGrid>
      <w:tr w:rsidR="00146E96" w:rsidRPr="001572E3" w:rsidTr="00B37DEF">
        <w:trPr>
          <w:trHeight w:val="556"/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1572E3" w:rsidRDefault="00146E96" w:rsidP="00B37D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b/>
                <w:color w:val="000000"/>
                <w:sz w:val="24"/>
              </w:rPr>
            </w:pPr>
            <w:r w:rsidRPr="001572E3">
              <w:rPr>
                <w:b/>
                <w:color w:val="000000"/>
                <w:sz w:val="24"/>
              </w:rPr>
              <w:t>GENERIC SCORING GUIDANCE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b/>
                <w:color w:val="000000"/>
                <w:sz w:val="24"/>
              </w:rPr>
            </w:pPr>
            <w:r w:rsidRPr="001572E3">
              <w:rPr>
                <w:b/>
                <w:color w:val="000000"/>
                <w:sz w:val="24"/>
              </w:rPr>
              <w:t>RATING</w:t>
            </w:r>
          </w:p>
        </w:tc>
      </w:tr>
      <w:tr w:rsidR="00146E96" w:rsidTr="00B37DEF">
        <w:trPr>
          <w:trHeight w:val="692"/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No response is provided to the question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1572E3" w:rsidRDefault="00146E96" w:rsidP="00B37D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 xml:space="preserve">Response provided but not acceptable, not relevant or contains minimal information or, where relevant to the nature of the question, unacceptable or </w:t>
            </w:r>
            <w:r w:rsidR="00B37DEF">
              <w:rPr>
                <w:color w:val="000000"/>
                <w:szCs w:val="20"/>
              </w:rPr>
              <w:t>minimal e</w:t>
            </w:r>
            <w:r w:rsidRPr="001572E3">
              <w:rPr>
                <w:color w:val="000000"/>
                <w:szCs w:val="20"/>
              </w:rPr>
              <w:t>xperience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skills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resources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20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Response fails to satisfactorily answer the entire remit of the question or, where relevant to the nature of the question provides limited relevant information or limited experience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skills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resources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40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Response answers the remit of the question and contains satisfactory information or, where relevant to the nature of the question satisfactory experience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skills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resources but could be enhanced in multiple aspects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60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Response satisfactorily answers the question and contains good  information or, where relevant to the nature of the question, good experience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skills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resources but could be enhanced in one aspect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80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Fully detailed response and contains excellent information or, where relevant to the nature of the question excellent experience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skills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/</w:t>
            </w:r>
            <w:r w:rsidR="00B37DEF">
              <w:rPr>
                <w:color w:val="000000"/>
                <w:szCs w:val="20"/>
              </w:rPr>
              <w:t xml:space="preserve"> </w:t>
            </w:r>
            <w:r w:rsidRPr="001572E3">
              <w:rPr>
                <w:color w:val="000000"/>
                <w:szCs w:val="20"/>
              </w:rPr>
              <w:t>resources answering the entire remit of the question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1572E3" w:rsidRDefault="00146E96" w:rsidP="001572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  <w:szCs w:val="20"/>
              </w:rPr>
            </w:pPr>
            <w:r w:rsidRPr="001572E3">
              <w:rPr>
                <w:color w:val="000000"/>
                <w:szCs w:val="20"/>
              </w:rPr>
              <w:t>100</w:t>
            </w:r>
          </w:p>
        </w:tc>
      </w:tr>
    </w:tbl>
    <w:p w:rsidR="00146E96" w:rsidRDefault="00146E96">
      <w:pPr>
        <w:spacing w:after="200" w:line="276" w:lineRule="auto"/>
        <w:rPr>
          <w:rFonts w:cs="Arial"/>
          <w:b/>
          <w:bCs/>
          <w:sz w:val="22"/>
          <w:szCs w:val="21"/>
        </w:rPr>
      </w:pPr>
      <w:r>
        <w:rPr>
          <w:rFonts w:cs="Arial"/>
          <w:b/>
          <w:bCs/>
          <w:sz w:val="22"/>
          <w:szCs w:val="21"/>
        </w:rPr>
        <w:br w:type="page"/>
      </w:r>
    </w:p>
    <w:p w:rsidR="00722F52" w:rsidRPr="001572E3" w:rsidRDefault="00722F52" w:rsidP="00722F52">
      <w:pPr>
        <w:autoSpaceDE w:val="0"/>
        <w:autoSpaceDN w:val="0"/>
        <w:adjustRightInd w:val="0"/>
        <w:spacing w:after="240"/>
        <w:rPr>
          <w:rFonts w:cs="Arial"/>
          <w:b/>
          <w:bCs/>
          <w:sz w:val="36"/>
          <w:szCs w:val="36"/>
        </w:rPr>
      </w:pPr>
      <w:r w:rsidRPr="001572E3">
        <w:rPr>
          <w:rFonts w:cs="Arial"/>
          <w:b/>
          <w:bCs/>
          <w:sz w:val="36"/>
          <w:szCs w:val="36"/>
        </w:rPr>
        <w:lastRenderedPageBreak/>
        <w:t>Question Scoring Guidance for Award Criteria</w:t>
      </w:r>
    </w:p>
    <w:p w:rsidR="00722F52" w:rsidRPr="00E2587E" w:rsidRDefault="00722F52" w:rsidP="001572E3">
      <w:pPr>
        <w:autoSpaceDE w:val="0"/>
        <w:autoSpaceDN w:val="0"/>
        <w:adjustRightInd w:val="0"/>
        <w:spacing w:after="240"/>
        <w:jc w:val="both"/>
        <w:rPr>
          <w:rFonts w:cs="Arial"/>
          <w:bCs/>
          <w:sz w:val="24"/>
        </w:rPr>
      </w:pPr>
      <w:r w:rsidRPr="00E2587E">
        <w:rPr>
          <w:rFonts w:cs="Arial"/>
          <w:bCs/>
          <w:sz w:val="24"/>
        </w:rPr>
        <w:t>The full tender scoring methodology</w:t>
      </w:r>
      <w:r w:rsidR="001572E3">
        <w:rPr>
          <w:rFonts w:cs="Arial"/>
          <w:bCs/>
          <w:sz w:val="24"/>
        </w:rPr>
        <w:t xml:space="preserve"> associated with the Award criteria</w:t>
      </w:r>
      <w:r w:rsidRPr="00E2587E">
        <w:rPr>
          <w:rFonts w:cs="Arial"/>
          <w:bCs/>
          <w:sz w:val="24"/>
        </w:rPr>
        <w:t xml:space="preserve">, including the weightings for each question, will be included in the relevant ITT document.  </w:t>
      </w:r>
    </w:p>
    <w:p w:rsidR="00722F52" w:rsidRPr="00722F52" w:rsidRDefault="00722F52" w:rsidP="00722F52">
      <w:pPr>
        <w:autoSpaceDE w:val="0"/>
        <w:autoSpaceDN w:val="0"/>
        <w:adjustRightInd w:val="0"/>
        <w:spacing w:after="240"/>
        <w:rPr>
          <w:rFonts w:cs="Arial"/>
          <w:b/>
          <w:bCs/>
          <w:i/>
          <w:sz w:val="28"/>
          <w:szCs w:val="28"/>
          <w:u w:val="single"/>
        </w:rPr>
      </w:pPr>
    </w:p>
    <w:p w:rsidR="00722F52" w:rsidRPr="001572E3" w:rsidRDefault="00E2587E" w:rsidP="001572E3">
      <w:pPr>
        <w:autoSpaceDE w:val="0"/>
        <w:autoSpaceDN w:val="0"/>
        <w:adjustRightInd w:val="0"/>
        <w:spacing w:after="240"/>
        <w:jc w:val="both"/>
        <w:rPr>
          <w:rFonts w:cs="Arial"/>
          <w:b/>
          <w:bCs/>
          <w:sz w:val="28"/>
          <w:szCs w:val="28"/>
          <w:u w:val="single"/>
        </w:rPr>
      </w:pPr>
      <w:r w:rsidRPr="001572E3">
        <w:rPr>
          <w:rFonts w:cs="Arial"/>
          <w:b/>
          <w:bCs/>
          <w:sz w:val="28"/>
          <w:szCs w:val="28"/>
          <w:u w:val="single"/>
        </w:rPr>
        <w:t>Award</w:t>
      </w:r>
      <w:r w:rsidR="00722F52" w:rsidRPr="001572E3">
        <w:rPr>
          <w:rFonts w:cs="Arial"/>
          <w:b/>
          <w:bCs/>
          <w:sz w:val="28"/>
          <w:szCs w:val="28"/>
          <w:u w:val="single"/>
        </w:rPr>
        <w:t xml:space="preserve"> Stage</w:t>
      </w:r>
    </w:p>
    <w:p w:rsidR="00722F52" w:rsidRPr="001572E3" w:rsidRDefault="00722F52" w:rsidP="001572E3">
      <w:pPr>
        <w:autoSpaceDE w:val="0"/>
        <w:autoSpaceDN w:val="0"/>
        <w:adjustRightInd w:val="0"/>
        <w:spacing w:after="240"/>
        <w:jc w:val="both"/>
        <w:rPr>
          <w:rFonts w:cs="Arial"/>
          <w:bCs/>
          <w:sz w:val="24"/>
        </w:rPr>
      </w:pPr>
      <w:r w:rsidRPr="001572E3">
        <w:rPr>
          <w:rFonts w:cs="Arial"/>
          <w:bCs/>
          <w:sz w:val="24"/>
        </w:rPr>
        <w:t xml:space="preserve">The undernoted scoring guidance is applicable to all </w:t>
      </w:r>
      <w:r w:rsidR="001572E3" w:rsidRPr="001572E3">
        <w:rPr>
          <w:rFonts w:cs="Arial"/>
          <w:bCs/>
          <w:sz w:val="24"/>
        </w:rPr>
        <w:t xml:space="preserve">of the Quality </w:t>
      </w:r>
      <w:r w:rsidRPr="001572E3">
        <w:rPr>
          <w:rFonts w:cs="Arial"/>
          <w:bCs/>
          <w:sz w:val="24"/>
        </w:rPr>
        <w:t xml:space="preserve">questions contained within the </w:t>
      </w:r>
      <w:r w:rsidR="00B37DEF">
        <w:rPr>
          <w:rFonts w:cs="Arial"/>
          <w:bCs/>
          <w:sz w:val="24"/>
        </w:rPr>
        <w:t>A</w:t>
      </w:r>
      <w:r w:rsidR="00E2587E" w:rsidRPr="001572E3">
        <w:rPr>
          <w:rFonts w:cs="Arial"/>
          <w:bCs/>
          <w:sz w:val="24"/>
        </w:rPr>
        <w:t>ward</w:t>
      </w:r>
      <w:r w:rsidRPr="001572E3">
        <w:rPr>
          <w:rFonts w:cs="Arial"/>
          <w:bCs/>
          <w:sz w:val="24"/>
        </w:rPr>
        <w:t xml:space="preserve"> criteria.</w:t>
      </w:r>
    </w:p>
    <w:p w:rsidR="00722F52" w:rsidRPr="001572E3" w:rsidRDefault="00722F52" w:rsidP="001572E3">
      <w:pPr>
        <w:autoSpaceDE w:val="0"/>
        <w:autoSpaceDN w:val="0"/>
        <w:adjustRightInd w:val="0"/>
        <w:spacing w:after="240"/>
        <w:jc w:val="both"/>
        <w:rPr>
          <w:rFonts w:cs="Arial"/>
          <w:bCs/>
          <w:sz w:val="24"/>
        </w:rPr>
      </w:pPr>
      <w:r w:rsidRPr="001572E3">
        <w:rPr>
          <w:rFonts w:cs="Arial"/>
          <w:b/>
          <w:bCs/>
          <w:sz w:val="24"/>
          <w:u w:val="single"/>
        </w:rPr>
        <w:t>Note</w:t>
      </w:r>
      <w:r w:rsidRPr="001572E3">
        <w:rPr>
          <w:rFonts w:cs="Arial"/>
          <w:b/>
          <w:bCs/>
          <w:sz w:val="24"/>
        </w:rPr>
        <w:t>:</w:t>
      </w:r>
      <w:r w:rsidRPr="001572E3">
        <w:rPr>
          <w:rFonts w:cs="Arial"/>
          <w:bCs/>
          <w:sz w:val="24"/>
        </w:rPr>
        <w:t xml:space="preserve"> the weightings for each </w:t>
      </w:r>
      <w:r w:rsidR="00B37DEF">
        <w:rPr>
          <w:rFonts w:cs="Arial"/>
          <w:bCs/>
          <w:sz w:val="24"/>
        </w:rPr>
        <w:t>A</w:t>
      </w:r>
      <w:r w:rsidR="00E2587E" w:rsidRPr="001572E3">
        <w:rPr>
          <w:rFonts w:cs="Arial"/>
          <w:bCs/>
          <w:sz w:val="24"/>
        </w:rPr>
        <w:t>ward criteria</w:t>
      </w:r>
      <w:r w:rsidRPr="001572E3">
        <w:rPr>
          <w:rFonts w:cs="Arial"/>
          <w:bCs/>
          <w:sz w:val="24"/>
        </w:rPr>
        <w:t xml:space="preserve"> </w:t>
      </w:r>
      <w:r w:rsidR="001572E3" w:rsidRPr="001572E3">
        <w:rPr>
          <w:rFonts w:cs="Arial"/>
          <w:bCs/>
          <w:sz w:val="24"/>
        </w:rPr>
        <w:t xml:space="preserve">(Price and Quality) </w:t>
      </w:r>
      <w:r w:rsidRPr="001572E3">
        <w:rPr>
          <w:rFonts w:cs="Arial"/>
          <w:bCs/>
          <w:sz w:val="24"/>
        </w:rPr>
        <w:t>are included in the Contract Notice</w:t>
      </w:r>
      <w:r w:rsidR="001572E3" w:rsidRPr="001572E3">
        <w:rPr>
          <w:rFonts w:cs="Arial"/>
          <w:bCs/>
          <w:sz w:val="24"/>
        </w:rPr>
        <w:t>.  T</w:t>
      </w:r>
      <w:r w:rsidRPr="001572E3">
        <w:rPr>
          <w:rFonts w:cs="Arial"/>
          <w:bCs/>
          <w:sz w:val="24"/>
        </w:rPr>
        <w:t xml:space="preserve">he </w:t>
      </w:r>
      <w:r w:rsidR="00E2587E" w:rsidRPr="001572E3">
        <w:rPr>
          <w:rFonts w:cs="Arial"/>
          <w:bCs/>
          <w:sz w:val="24"/>
        </w:rPr>
        <w:t xml:space="preserve">weightings relating to the </w:t>
      </w:r>
      <w:r w:rsidR="001572E3" w:rsidRPr="001572E3">
        <w:rPr>
          <w:rFonts w:cs="Arial"/>
          <w:bCs/>
          <w:sz w:val="24"/>
        </w:rPr>
        <w:t xml:space="preserve">Quality criteria </w:t>
      </w:r>
      <w:r w:rsidR="00E2587E" w:rsidRPr="001572E3">
        <w:rPr>
          <w:rFonts w:cs="Arial"/>
          <w:bCs/>
          <w:sz w:val="24"/>
        </w:rPr>
        <w:t xml:space="preserve">questions </w:t>
      </w:r>
      <w:r w:rsidR="001572E3" w:rsidRPr="001572E3">
        <w:rPr>
          <w:rFonts w:cs="Arial"/>
          <w:bCs/>
          <w:sz w:val="24"/>
        </w:rPr>
        <w:t xml:space="preserve">are included within the </w:t>
      </w:r>
      <w:r w:rsidRPr="001572E3">
        <w:rPr>
          <w:rFonts w:cs="Arial"/>
          <w:bCs/>
          <w:sz w:val="24"/>
        </w:rPr>
        <w:t>IT</w:t>
      </w:r>
      <w:r w:rsidR="00B37DEF">
        <w:rPr>
          <w:rFonts w:cs="Arial"/>
          <w:bCs/>
          <w:sz w:val="24"/>
        </w:rPr>
        <w:t>T</w:t>
      </w:r>
      <w:r w:rsidRPr="001572E3">
        <w:rPr>
          <w:rFonts w:cs="Arial"/>
          <w:bCs/>
          <w:sz w:val="24"/>
        </w:rPr>
        <w:t xml:space="preserve"> document.</w:t>
      </w:r>
    </w:p>
    <w:p w:rsidR="001572E3" w:rsidRPr="00722F52" w:rsidRDefault="001572E3" w:rsidP="00722F52">
      <w:pPr>
        <w:autoSpaceDE w:val="0"/>
        <w:autoSpaceDN w:val="0"/>
        <w:adjustRightInd w:val="0"/>
        <w:spacing w:after="240"/>
        <w:rPr>
          <w:rFonts w:cs="Arial"/>
          <w:bCs/>
          <w:sz w:val="22"/>
          <w:szCs w:val="21"/>
        </w:rPr>
      </w:pPr>
    </w:p>
    <w:p w:rsidR="00146E96" w:rsidRPr="00C63550" w:rsidRDefault="00146E96" w:rsidP="00146E96">
      <w:pPr>
        <w:tabs>
          <w:tab w:val="left" w:pos="6521"/>
        </w:tabs>
        <w:rPr>
          <w:rFonts w:cs="Arial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099"/>
      </w:tblGrid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b/>
                <w:color w:val="000000"/>
              </w:rPr>
            </w:pPr>
            <w:r w:rsidRPr="00FE1151">
              <w:rPr>
                <w:b/>
                <w:color w:val="000000"/>
              </w:rPr>
              <w:t>GENERIC SCORING GUIDANCE</w:t>
            </w:r>
          </w:p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b/>
                <w:color w:val="00000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b/>
                <w:color w:val="000000"/>
              </w:rPr>
            </w:pPr>
            <w:r w:rsidRPr="00FE1151">
              <w:rPr>
                <w:b/>
                <w:color w:val="000000"/>
              </w:rPr>
              <w:t>RATING</w:t>
            </w:r>
          </w:p>
        </w:tc>
      </w:tr>
      <w:tr w:rsidR="00146E96" w:rsidTr="00B37DEF">
        <w:trPr>
          <w:trHeight w:val="838"/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E1151">
              <w:rPr>
                <w:color w:val="000000"/>
              </w:rPr>
              <w:t>No response is provided to the question</w:t>
            </w:r>
          </w:p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1151">
              <w:rPr>
                <w:color w:val="000000"/>
              </w:rPr>
              <w:t>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</w:rPr>
            </w:pPr>
            <w:r w:rsidRPr="00FE1151">
              <w:rPr>
                <w:color w:val="000000"/>
              </w:rPr>
              <w:t>Response provided but</w:t>
            </w:r>
            <w:r>
              <w:rPr>
                <w:color w:val="000000"/>
              </w:rPr>
              <w:t xml:space="preserve"> not acceptable,</w:t>
            </w:r>
            <w:r w:rsidRPr="00FE1151">
              <w:rPr>
                <w:color w:val="000000"/>
              </w:rPr>
              <w:t xml:space="preserve"> not relevant or contains minimal information or, where relevant to the nature of the question, </w:t>
            </w:r>
            <w:r>
              <w:rPr>
                <w:color w:val="000000"/>
              </w:rPr>
              <w:t xml:space="preserve">unacceptable or </w:t>
            </w:r>
            <w:r w:rsidRPr="00FE1151">
              <w:rPr>
                <w:color w:val="000000"/>
              </w:rPr>
              <w:t>min</w:t>
            </w:r>
            <w:r>
              <w:rPr>
                <w:color w:val="000000"/>
              </w:rPr>
              <w:t>imal expertise.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</w:rPr>
            </w:pPr>
            <w:r w:rsidRPr="00FE1151">
              <w:rPr>
                <w:color w:val="000000"/>
              </w:rPr>
              <w:t xml:space="preserve">Response fails to satisfactorily answer the entire remit of the question or, where relevant to the nature of the question provides limited relevant information or limited </w:t>
            </w:r>
            <w:r>
              <w:rPr>
                <w:color w:val="000000"/>
              </w:rPr>
              <w:t>expertise.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</w:rPr>
            </w:pPr>
            <w:r w:rsidRPr="00FE1151">
              <w:rPr>
                <w:color w:val="000000"/>
              </w:rPr>
              <w:t xml:space="preserve">Response answers the remit of the question and contains satisfactory information or, where relevant to the nature of the question satisfactory </w:t>
            </w:r>
            <w:r>
              <w:rPr>
                <w:color w:val="000000"/>
              </w:rPr>
              <w:t>expertise</w:t>
            </w:r>
            <w:r w:rsidRPr="00FE1151">
              <w:rPr>
                <w:color w:val="000000"/>
              </w:rPr>
              <w:t xml:space="preserve"> but could be enhanced in multiple aspects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</w:rPr>
            </w:pPr>
            <w:r w:rsidRPr="00FE1151">
              <w:rPr>
                <w:color w:val="000000"/>
              </w:rPr>
              <w:t xml:space="preserve">Response satisfactorily answers the question and contains good  information or, where relevant to the nature of the question, good </w:t>
            </w:r>
            <w:r>
              <w:rPr>
                <w:color w:val="000000"/>
              </w:rPr>
              <w:t>expertise</w:t>
            </w:r>
            <w:r w:rsidRPr="00FE1151">
              <w:rPr>
                <w:color w:val="000000"/>
              </w:rPr>
              <w:t xml:space="preserve"> but could be enhanced in one aspect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146E96" w:rsidTr="00431000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rPr>
                <w:color w:val="000000"/>
              </w:rPr>
            </w:pPr>
            <w:r w:rsidRPr="00FE1151">
              <w:rPr>
                <w:color w:val="000000"/>
              </w:rPr>
              <w:t xml:space="preserve">Fully detailed response and contains excellent information or, where relevant to the nature of the question excellent </w:t>
            </w:r>
            <w:r>
              <w:rPr>
                <w:color w:val="000000"/>
              </w:rPr>
              <w:t>expertise</w:t>
            </w:r>
            <w:r w:rsidRPr="00FE1151">
              <w:rPr>
                <w:color w:val="000000"/>
              </w:rPr>
              <w:t xml:space="preserve"> answering the entire remit of the question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96" w:rsidRPr="00FE1151" w:rsidRDefault="00146E96" w:rsidP="00431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146E96" w:rsidRDefault="00146E96" w:rsidP="00146E96">
      <w:pPr>
        <w:tabs>
          <w:tab w:val="left" w:pos="6521"/>
        </w:tabs>
        <w:rPr>
          <w:rFonts w:cs="Arial"/>
          <w:highlight w:val="yellow"/>
        </w:rPr>
      </w:pPr>
    </w:p>
    <w:p w:rsidR="00146E96" w:rsidRDefault="00146E96"/>
    <w:sectPr w:rsidR="00146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F6D" w:rsidRDefault="00B93F6D" w:rsidP="00B21F54">
      <w:r>
        <w:separator/>
      </w:r>
    </w:p>
  </w:endnote>
  <w:endnote w:type="continuationSeparator" w:id="0">
    <w:p w:rsidR="00B93F6D" w:rsidRDefault="00B93F6D" w:rsidP="00B2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F6D" w:rsidRDefault="00B93F6D" w:rsidP="00B21F54">
      <w:r>
        <w:separator/>
      </w:r>
    </w:p>
  </w:footnote>
  <w:footnote w:type="continuationSeparator" w:id="0">
    <w:p w:rsidR="00B93F6D" w:rsidRDefault="00B93F6D" w:rsidP="00B2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E96"/>
    <w:rsid w:val="000230AF"/>
    <w:rsid w:val="00146E96"/>
    <w:rsid w:val="001572E3"/>
    <w:rsid w:val="00722F52"/>
    <w:rsid w:val="00B21F54"/>
    <w:rsid w:val="00B37DEF"/>
    <w:rsid w:val="00B93F6D"/>
    <w:rsid w:val="00CC0A3D"/>
    <w:rsid w:val="00E2587E"/>
    <w:rsid w:val="00E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65AE8"/>
  <w15:docId w15:val="{346F48AD-2C7C-472A-9FFB-16BFAF6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E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1572E3"/>
  </w:style>
  <w:style w:type="paragraph" w:styleId="Header">
    <w:name w:val="header"/>
    <w:basedOn w:val="Normal"/>
    <w:link w:val="HeaderChar"/>
    <w:uiPriority w:val="99"/>
    <w:unhideWhenUsed/>
    <w:rsid w:val="00B21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F54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1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F54"/>
    <w:rPr>
      <w:rFonts w:ascii="Arial" w:eastAsia="Times New Roman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5146B1C1-DAB7-478B-AD1B-45051EE1E8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2817</Characters>
  <Application>Microsoft Office Word</Application>
  <DocSecurity>0</DocSecurity>
  <Lines>97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Sneddon, Marion</dc:creator>
  <cp:keywords>[OFFICIAL]</cp:keywords>
  <cp:lastModifiedBy>Houston, Keith (CED)</cp:lastModifiedBy>
  <cp:revision>2</cp:revision>
  <dcterms:created xsi:type="dcterms:W3CDTF">2021-06-22T10:38:00Z</dcterms:created>
  <dcterms:modified xsi:type="dcterms:W3CDTF">2021-06-22T10:38:00Z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cb1a7d9f-5282-49be-a726-d034ef1a610b</vt:lpwstr>
  </property>
  <property fmtid="{D5CDD505-2E9C-101B-9397-08002B2CF9AE}" pid="3" name="bjSaver">
    <vt:lpwstr>Vzgu4c95wGkS49m/95Hd6SbgRvTcvICN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