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SCREENING FORM</w:t>
      </w: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08714A" w:rsidRPr="002101EA" w:rsidRDefault="0008714A" w:rsidP="00183BFB">
      <w:pPr>
        <w:pStyle w:val="Default"/>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1440" w:bottom="1135" w:left="851" w:header="720" w:footer="720" w:gutter="0"/>
          <w:cols w:space="720"/>
        </w:sectPr>
      </w:pPr>
    </w:p>
    <w:p w:rsidR="00CE1909" w:rsidRDefault="00CE1909" w:rsidP="00CE1909">
      <w:pPr>
        <w:tabs>
          <w:tab w:val="left" w:pos="6062"/>
          <w:tab w:val="left" w:pos="11164"/>
          <w:tab w:val="left" w:pos="15276"/>
        </w:tabs>
        <w:ind w:left="-176"/>
        <w:rPr>
          <w:sz w:val="22"/>
        </w:rPr>
      </w:pPr>
    </w:p>
    <w:p w:rsidR="00CE1909" w:rsidRPr="00B04CFA" w:rsidRDefault="00716EFA" w:rsidP="00716EFA">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A03855">
        <w:rPr>
          <w:sz w:val="36"/>
          <w:szCs w:val="36"/>
        </w:rPr>
        <w:t>:</w:t>
      </w:r>
    </w:p>
    <w:p w:rsidR="00BA61E4" w:rsidRDefault="00BA61E4" w:rsidP="00BA61E4">
      <w:pPr>
        <w:tabs>
          <w:tab w:val="left" w:pos="6062"/>
          <w:tab w:val="left" w:pos="11164"/>
          <w:tab w:val="left" w:pos="15276"/>
        </w:tabs>
        <w:rPr>
          <w:sz w:val="22"/>
        </w:rPr>
      </w:pP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030EEA" w:rsidRPr="00C87613" w:rsidRDefault="007B63E5" w:rsidP="00030EEA">
            <w:pPr>
              <w:tabs>
                <w:tab w:val="left" w:pos="6062"/>
                <w:tab w:val="left" w:pos="11164"/>
                <w:tab w:val="left" w:pos="15276"/>
              </w:tabs>
              <w:rPr>
                <w:sz w:val="22"/>
              </w:rPr>
            </w:pPr>
            <w:r>
              <w:rPr>
                <w:sz w:val="22"/>
              </w:rPr>
              <w:t>To present the report and recommendations of the Ecological Emergency Working Group</w:t>
            </w:r>
          </w:p>
          <w:p w:rsidR="00530518" w:rsidRPr="00C87613" w:rsidRDefault="00530518" w:rsidP="00C87613">
            <w:pPr>
              <w:tabs>
                <w:tab w:val="left" w:pos="6062"/>
                <w:tab w:val="left" w:pos="11164"/>
                <w:tab w:val="left" w:pos="15276"/>
              </w:tabs>
              <w:rPr>
                <w:sz w:val="22"/>
              </w:rPr>
            </w:pPr>
          </w:p>
        </w:tc>
      </w:tr>
    </w:tbl>
    <w:p w:rsidR="00CE1909" w:rsidRDefault="00CE1909" w:rsidP="00530518">
      <w:pPr>
        <w:tabs>
          <w:tab w:val="left" w:pos="6062"/>
          <w:tab w:val="left" w:pos="11164"/>
          <w:tab w:val="left" w:pos="15276"/>
        </w:tabs>
        <w:rPr>
          <w:sz w:val="22"/>
        </w:rPr>
      </w:pPr>
    </w:p>
    <w:p w:rsidR="00CE1909" w:rsidRDefault="00163A6F" w:rsidP="005272A9">
      <w:pPr>
        <w:numPr>
          <w:ilvl w:val="0"/>
          <w:numId w:val="4"/>
        </w:numPr>
        <w:tabs>
          <w:tab w:val="left" w:pos="6062"/>
          <w:tab w:val="left" w:pos="11164"/>
          <w:tab w:val="left" w:pos="15276"/>
        </w:tabs>
        <w:rPr>
          <w:sz w:val="22"/>
        </w:rPr>
      </w:pPr>
      <w:r w:rsidRPr="00163A6F">
        <w:rPr>
          <w:sz w:val="22"/>
        </w:rPr>
        <w:t>Reason for Change in Policy or Policy Development</w:t>
      </w:r>
      <w:r>
        <w:rPr>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183BFB">
        <w:trPr>
          <w:trHeight w:val="519"/>
        </w:trPr>
        <w:tc>
          <w:tcPr>
            <w:tcW w:w="14295" w:type="dxa"/>
            <w:shd w:val="clear" w:color="auto" w:fill="auto"/>
          </w:tcPr>
          <w:p w:rsidR="00530518" w:rsidRPr="00C87613" w:rsidRDefault="007B63E5" w:rsidP="007B63E5">
            <w:pPr>
              <w:tabs>
                <w:tab w:val="left" w:pos="6062"/>
                <w:tab w:val="left" w:pos="11164"/>
                <w:tab w:val="left" w:pos="15276"/>
              </w:tabs>
              <w:rPr>
                <w:sz w:val="22"/>
              </w:rPr>
            </w:pPr>
            <w:r w:rsidRPr="007B63E5">
              <w:t xml:space="preserve">To make recommendations on local action to address </w:t>
            </w:r>
            <w:r>
              <w:t>ecological issues affecting habitat, the environment and residents</w:t>
            </w:r>
            <w:r w:rsidRPr="007B63E5">
              <w:t>.</w:t>
            </w:r>
          </w:p>
        </w:tc>
      </w:tr>
    </w:tbl>
    <w:p w:rsidR="00163A6F" w:rsidRDefault="00163A6F" w:rsidP="00CE1909">
      <w:pPr>
        <w:tabs>
          <w:tab w:val="left" w:pos="6062"/>
          <w:tab w:val="left" w:pos="11164"/>
          <w:tab w:val="left" w:pos="15276"/>
        </w:tabs>
        <w:rPr>
          <w:sz w:val="22"/>
        </w:rPr>
      </w:pPr>
    </w:p>
    <w:p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163A6F" w:rsidRPr="00C87613" w:rsidTr="005427A5">
        <w:trPr>
          <w:trHeight w:val="1111"/>
        </w:trPr>
        <w:tc>
          <w:tcPr>
            <w:tcW w:w="14295" w:type="dxa"/>
            <w:shd w:val="clear" w:color="auto" w:fill="auto"/>
          </w:tcPr>
          <w:p w:rsidR="009D7CCA" w:rsidRDefault="007B63E5" w:rsidP="009D7CCA">
            <w:pPr>
              <w:widowControl w:val="0"/>
              <w:autoSpaceDE w:val="0"/>
              <w:autoSpaceDN w:val="0"/>
              <w:adjustRightInd w:val="0"/>
              <w:spacing w:before="12" w:line="260" w:lineRule="exact"/>
              <w:rPr>
                <w:rFonts w:cs="Arial"/>
                <w:spacing w:val="1"/>
                <w:szCs w:val="24"/>
                <w:lang w:eastAsia="en-GB"/>
              </w:rPr>
            </w:pPr>
            <w:r>
              <w:rPr>
                <w:rFonts w:cs="Arial"/>
                <w:spacing w:val="1"/>
                <w:szCs w:val="24"/>
                <w:lang w:eastAsia="en-GB"/>
              </w:rPr>
              <w:t>Key outcome: To help Glasgow address the Ecological Emergency and protect and enhance habitats</w:t>
            </w:r>
            <w:r w:rsidRPr="007B63E5">
              <w:rPr>
                <w:rFonts w:cs="Arial"/>
                <w:spacing w:val="1"/>
                <w:szCs w:val="24"/>
                <w:lang w:eastAsia="en-GB"/>
              </w:rPr>
              <w:t>.</w:t>
            </w:r>
          </w:p>
          <w:p w:rsidR="007B63E5" w:rsidRDefault="007B63E5" w:rsidP="009D7CCA">
            <w:pPr>
              <w:widowControl w:val="0"/>
              <w:autoSpaceDE w:val="0"/>
              <w:autoSpaceDN w:val="0"/>
              <w:adjustRightInd w:val="0"/>
              <w:spacing w:before="12" w:line="260" w:lineRule="exact"/>
              <w:rPr>
                <w:rFonts w:cs="Arial"/>
                <w:spacing w:val="1"/>
                <w:szCs w:val="24"/>
                <w:lang w:eastAsia="en-GB"/>
              </w:rPr>
            </w:pPr>
          </w:p>
          <w:p w:rsidR="007B63E5" w:rsidRPr="007B63E5" w:rsidRDefault="007B63E5" w:rsidP="007B63E5">
            <w:pPr>
              <w:widowControl w:val="0"/>
              <w:numPr>
                <w:ilvl w:val="0"/>
                <w:numId w:val="25"/>
              </w:numPr>
              <w:autoSpaceDE w:val="0"/>
              <w:autoSpaceDN w:val="0"/>
              <w:adjustRightInd w:val="0"/>
              <w:spacing w:before="12" w:line="260" w:lineRule="exact"/>
              <w:rPr>
                <w:rFonts w:cs="Arial"/>
                <w:bCs/>
                <w:szCs w:val="24"/>
                <w:lang w:eastAsia="en-GB"/>
              </w:rPr>
            </w:pPr>
            <w:r w:rsidRPr="007B63E5">
              <w:rPr>
                <w:rFonts w:cs="Arial"/>
                <w:bCs/>
                <w:szCs w:val="24"/>
                <w:lang w:eastAsia="en-GB"/>
              </w:rPr>
              <w:t>Recognise and integrate within the LBAP, mutually beneficial interactions with Climate Emergency Working Group proposals and actions.</w:t>
            </w:r>
          </w:p>
          <w:p w:rsidR="007B63E5" w:rsidRPr="007B63E5" w:rsidRDefault="007B63E5" w:rsidP="007B63E5">
            <w:pPr>
              <w:widowControl w:val="0"/>
              <w:numPr>
                <w:ilvl w:val="0"/>
                <w:numId w:val="25"/>
              </w:numPr>
              <w:autoSpaceDE w:val="0"/>
              <w:autoSpaceDN w:val="0"/>
              <w:adjustRightInd w:val="0"/>
              <w:spacing w:before="12" w:line="260" w:lineRule="exact"/>
              <w:rPr>
                <w:rFonts w:cs="Arial"/>
                <w:bCs/>
                <w:szCs w:val="24"/>
                <w:lang w:eastAsia="en-GB"/>
              </w:rPr>
            </w:pPr>
            <w:r w:rsidRPr="007B63E5">
              <w:rPr>
                <w:rFonts w:cs="Arial"/>
                <w:bCs/>
                <w:szCs w:val="24"/>
                <w:lang w:eastAsia="en-GB"/>
              </w:rPr>
              <w:t xml:space="preserve">Review the Council’s Pollinator Plan to determine which actions need strengthened, expanded and brought forward. </w:t>
            </w:r>
          </w:p>
          <w:p w:rsidR="007B63E5" w:rsidRPr="007B63E5" w:rsidRDefault="007B63E5" w:rsidP="007B63E5">
            <w:pPr>
              <w:widowControl w:val="0"/>
              <w:numPr>
                <w:ilvl w:val="0"/>
                <w:numId w:val="25"/>
              </w:numPr>
              <w:autoSpaceDE w:val="0"/>
              <w:autoSpaceDN w:val="0"/>
              <w:adjustRightInd w:val="0"/>
              <w:spacing w:before="12" w:line="260" w:lineRule="exact"/>
              <w:rPr>
                <w:rFonts w:cs="Arial"/>
                <w:bCs/>
                <w:szCs w:val="24"/>
                <w:lang w:eastAsia="en-GB"/>
              </w:rPr>
            </w:pPr>
            <w:r w:rsidRPr="007B63E5">
              <w:rPr>
                <w:rFonts w:cs="Arial"/>
                <w:bCs/>
                <w:szCs w:val="24"/>
                <w:lang w:eastAsia="en-GB"/>
              </w:rPr>
              <w:t xml:space="preserve">Map interactions with other existing and in-development Council guidance and strategies, especially the Open Space Strategy. </w:t>
            </w:r>
          </w:p>
          <w:p w:rsidR="007B63E5" w:rsidRPr="007B63E5" w:rsidRDefault="007B63E5" w:rsidP="007B63E5">
            <w:pPr>
              <w:widowControl w:val="0"/>
              <w:numPr>
                <w:ilvl w:val="0"/>
                <w:numId w:val="25"/>
              </w:numPr>
              <w:autoSpaceDE w:val="0"/>
              <w:autoSpaceDN w:val="0"/>
              <w:adjustRightInd w:val="0"/>
              <w:spacing w:before="12" w:line="260" w:lineRule="exact"/>
              <w:rPr>
                <w:rFonts w:cs="Arial"/>
                <w:bCs/>
                <w:szCs w:val="24"/>
                <w:lang w:eastAsia="en-GB"/>
              </w:rPr>
            </w:pPr>
            <w:r w:rsidRPr="007B63E5">
              <w:rPr>
                <w:rFonts w:cs="Arial"/>
                <w:bCs/>
                <w:szCs w:val="24"/>
                <w:lang w:eastAsia="en-GB"/>
              </w:rPr>
              <w:t xml:space="preserve">Review the Council’s tree planting strategy. </w:t>
            </w:r>
          </w:p>
          <w:p w:rsidR="007B63E5" w:rsidRPr="007B63E5" w:rsidRDefault="007B63E5" w:rsidP="007B63E5">
            <w:pPr>
              <w:widowControl w:val="0"/>
              <w:numPr>
                <w:ilvl w:val="0"/>
                <w:numId w:val="25"/>
              </w:numPr>
              <w:autoSpaceDE w:val="0"/>
              <w:autoSpaceDN w:val="0"/>
              <w:adjustRightInd w:val="0"/>
              <w:spacing w:before="12" w:line="260" w:lineRule="exact"/>
              <w:rPr>
                <w:rFonts w:cs="Arial"/>
                <w:bCs/>
                <w:szCs w:val="24"/>
                <w:lang w:eastAsia="en-GB"/>
              </w:rPr>
            </w:pPr>
            <w:r w:rsidRPr="007B63E5">
              <w:rPr>
                <w:rFonts w:cs="Arial"/>
                <w:bCs/>
                <w:szCs w:val="24"/>
                <w:lang w:eastAsia="en-GB"/>
              </w:rPr>
              <w:t xml:space="preserve">Review relevant legislation pertaining to the City Development Plan including the Habitats Regulations Appraisal (HRA). </w:t>
            </w:r>
          </w:p>
          <w:p w:rsidR="009D7CCA" w:rsidRPr="00183BFB" w:rsidRDefault="009D7CCA" w:rsidP="00183BFB">
            <w:pPr>
              <w:widowControl w:val="0"/>
              <w:autoSpaceDE w:val="0"/>
              <w:autoSpaceDN w:val="0"/>
              <w:adjustRightInd w:val="0"/>
              <w:spacing w:before="12" w:line="260" w:lineRule="exact"/>
              <w:contextualSpacing/>
              <w:rPr>
                <w:sz w:val="22"/>
              </w:rPr>
            </w:pPr>
          </w:p>
        </w:tc>
      </w:tr>
    </w:tbl>
    <w:p w:rsidR="0025709A" w:rsidRDefault="0025709A" w:rsidP="0025709A">
      <w:pPr>
        <w:tabs>
          <w:tab w:val="left" w:pos="1244"/>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Pr="00C87613" w:rsidRDefault="00530518" w:rsidP="00C87613">
            <w:pPr>
              <w:tabs>
                <w:tab w:val="left" w:pos="6062"/>
                <w:tab w:val="left" w:pos="11164"/>
                <w:tab w:val="left" w:pos="15276"/>
              </w:tabs>
              <w:rPr>
                <w:sz w:val="22"/>
              </w:rPr>
            </w:pPr>
          </w:p>
          <w:p w:rsidR="00530518" w:rsidRPr="00C87613" w:rsidRDefault="009D7CCA" w:rsidP="00183BFB">
            <w:pPr>
              <w:tabs>
                <w:tab w:val="left" w:pos="6062"/>
                <w:tab w:val="left" w:pos="11164"/>
                <w:tab w:val="left" w:pos="15276"/>
              </w:tabs>
              <w:rPr>
                <w:sz w:val="22"/>
              </w:rPr>
            </w:pPr>
            <w:r>
              <w:rPr>
                <w:sz w:val="22"/>
              </w:rPr>
              <w:t>Rachel Smith</w:t>
            </w:r>
            <w:r w:rsidR="00183BFB">
              <w:rPr>
                <w:sz w:val="22"/>
              </w:rPr>
              <w:t xml:space="preserve"> (</w:t>
            </w:r>
            <w:r w:rsidR="007B63E5">
              <w:rPr>
                <w:sz w:val="22"/>
              </w:rPr>
              <w:t>13</w:t>
            </w:r>
            <w:r w:rsidR="00030EEA">
              <w:rPr>
                <w:sz w:val="22"/>
              </w:rPr>
              <w:t>/</w:t>
            </w:r>
            <w:r w:rsidR="007B63E5">
              <w:rPr>
                <w:sz w:val="22"/>
              </w:rPr>
              <w:t>11/2020</w:t>
            </w:r>
            <w:r w:rsidR="00183BFB">
              <w:rPr>
                <w:sz w:val="22"/>
              </w:rPr>
              <w:t>)</w:t>
            </w:r>
          </w:p>
        </w:tc>
      </w:tr>
    </w:tbl>
    <w:p w:rsidR="00530518" w:rsidRDefault="00530518" w:rsidP="00CE1909">
      <w:pPr>
        <w:tabs>
          <w:tab w:val="left" w:pos="6062"/>
          <w:tab w:val="left" w:pos="11164"/>
          <w:tab w:val="left" w:pos="15276"/>
        </w:tabs>
        <w:ind w:left="720"/>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FD5C99" w:rsidRDefault="00FD5C99" w:rsidP="00030EEA">
            <w:pPr>
              <w:tabs>
                <w:tab w:val="left" w:pos="6062"/>
                <w:tab w:val="left" w:pos="11164"/>
                <w:tab w:val="left" w:pos="15276"/>
              </w:tabs>
              <w:rPr>
                <w:sz w:val="22"/>
              </w:rPr>
            </w:pPr>
          </w:p>
          <w:p w:rsidR="00530518" w:rsidRPr="00C87613" w:rsidRDefault="009D7CCA" w:rsidP="00C87613">
            <w:pPr>
              <w:tabs>
                <w:tab w:val="left" w:pos="6062"/>
                <w:tab w:val="left" w:pos="11164"/>
                <w:tab w:val="left" w:pos="15276"/>
              </w:tabs>
              <w:rPr>
                <w:sz w:val="22"/>
              </w:rPr>
            </w:pPr>
            <w:r>
              <w:rPr>
                <w:sz w:val="22"/>
              </w:rPr>
              <w:t>Seamus Connolly</w:t>
            </w:r>
            <w:r w:rsidR="00183BFB">
              <w:rPr>
                <w:sz w:val="22"/>
              </w:rPr>
              <w:t xml:space="preserve"> (</w:t>
            </w:r>
            <w:r w:rsidR="007B63E5">
              <w:rPr>
                <w:sz w:val="22"/>
              </w:rPr>
              <w:t>13/11/2020</w:t>
            </w:r>
            <w:r w:rsidR="00183BFB">
              <w:rPr>
                <w:sz w:val="22"/>
              </w:rPr>
              <w:t>)</w:t>
            </w:r>
            <w:bookmarkStart w:id="0" w:name="_GoBack"/>
            <w:bookmarkEnd w:id="0"/>
          </w:p>
        </w:tc>
      </w:tr>
    </w:tbl>
    <w:p w:rsidR="00CE1909" w:rsidRDefault="00CE1909" w:rsidP="00CE1909">
      <w:pPr>
        <w:tabs>
          <w:tab w:val="left" w:pos="6062"/>
          <w:tab w:val="left" w:pos="11164"/>
          <w:tab w:val="left" w:pos="15276"/>
        </w:tabs>
        <w:ind w:left="720"/>
        <w:rPr>
          <w:sz w:val="22"/>
        </w:rPr>
      </w:pPr>
    </w:p>
    <w:p w:rsidR="00530518" w:rsidRDefault="00530518" w:rsidP="00CE1909">
      <w:pPr>
        <w:pStyle w:val="Heading1"/>
        <w:sectPr w:rsidR="00530518" w:rsidSect="002101EA">
          <w:pgSz w:w="16838" w:h="11906" w:orient="landscape" w:code="9"/>
          <w:pgMar w:top="851" w:right="1440" w:bottom="1135" w:left="851" w:header="720" w:footer="720" w:gutter="0"/>
          <w:cols w:space="720"/>
        </w:sectPr>
      </w:pPr>
    </w:p>
    <w:p w:rsidR="00CE1909" w:rsidRPr="00B04CFA" w:rsidRDefault="00697CBC" w:rsidP="005272A9">
      <w:pPr>
        <w:pStyle w:val="Heading1"/>
        <w:numPr>
          <w:ilvl w:val="0"/>
          <w:numId w:val="8"/>
        </w:numPr>
        <w:rPr>
          <w:sz w:val="36"/>
          <w:szCs w:val="36"/>
        </w:rPr>
      </w:pPr>
      <w:r w:rsidRPr="00B04CFA">
        <w:rPr>
          <w:sz w:val="36"/>
          <w:szCs w:val="36"/>
        </w:rPr>
        <w:lastRenderedPageBreak/>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Default="00A403D7" w:rsidP="00CE1909">
      <w:pPr>
        <w:rPr>
          <w:sz w:val="22"/>
        </w:rPr>
      </w:pPr>
    </w:p>
    <w:p w:rsidR="00CE1909"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rsidR="00D70CD6" w:rsidRDefault="00D70CD6" w:rsidP="00781F6A">
      <w:pPr>
        <w:ind w:left="360"/>
        <w:rPr>
          <w:sz w:val="22"/>
        </w:rPr>
      </w:pPr>
    </w:p>
    <w:p w:rsidR="00CE1909" w:rsidRDefault="00CE1909" w:rsidP="00CE1909">
      <w:pPr>
        <w:rPr>
          <w:sz w:val="2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394"/>
        <w:gridCol w:w="4394"/>
      </w:tblGrid>
      <w:tr w:rsidR="00CE1909" w:rsidTr="00781F6A">
        <w:tblPrEx>
          <w:tblCellMar>
            <w:top w:w="0" w:type="dxa"/>
            <w:bottom w:w="0" w:type="dxa"/>
          </w:tblCellMar>
        </w:tblPrEx>
        <w:tc>
          <w:tcPr>
            <w:tcW w:w="5353" w:type="dxa"/>
            <w:shd w:val="clear" w:color="auto" w:fill="C0C0C0"/>
          </w:tcPr>
          <w:p w:rsidR="006D3284" w:rsidRDefault="006D3284" w:rsidP="0021793B">
            <w:pPr>
              <w:rPr>
                <w:b/>
                <w:sz w:val="22"/>
              </w:rPr>
            </w:pPr>
          </w:p>
          <w:p w:rsidR="00CE1909" w:rsidRPr="006D3284" w:rsidRDefault="00CE1909" w:rsidP="0021793B">
            <w:pPr>
              <w:rPr>
                <w:sz w:val="22"/>
              </w:rPr>
            </w:pPr>
            <w:r w:rsidRPr="006D3284">
              <w:rPr>
                <w:sz w:val="22"/>
              </w:rPr>
              <w:t>Please name any research, data, consultation or studies referred to for this assessment:</w:t>
            </w:r>
          </w:p>
        </w:tc>
        <w:tc>
          <w:tcPr>
            <w:tcW w:w="4394" w:type="dxa"/>
            <w:shd w:val="clear" w:color="auto" w:fill="C0C0C0"/>
          </w:tcPr>
          <w:p w:rsidR="006D3284" w:rsidRDefault="006D3284" w:rsidP="00874EAF">
            <w:pPr>
              <w:rPr>
                <w:sz w:val="22"/>
              </w:rPr>
            </w:pPr>
          </w:p>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Default="00874EAF" w:rsidP="00874EAF">
            <w:pPr>
              <w:rPr>
                <w:rFonts w:cs="Arial"/>
                <w:szCs w:val="24"/>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874EAF" w:rsidRDefault="00874EAF" w:rsidP="00874EAF">
            <w:pPr>
              <w:numPr>
                <w:ilvl w:val="0"/>
                <w:numId w:val="2"/>
              </w:numPr>
              <w:rPr>
                <w:rFonts w:cs="Arial"/>
                <w:sz w:val="22"/>
                <w:szCs w:val="22"/>
              </w:rPr>
            </w:pPr>
            <w:r w:rsidRPr="00874EAF">
              <w:rPr>
                <w:rFonts w:cs="Arial"/>
                <w:sz w:val="22"/>
                <w:szCs w:val="22"/>
              </w:rPr>
              <w:t xml:space="preserve">pregnancy and maternity, </w:t>
            </w:r>
          </w:p>
          <w:p w:rsidR="00874EAF" w:rsidRPr="00874EAF" w:rsidRDefault="00874EAF" w:rsidP="00874EAF">
            <w:pPr>
              <w:ind w:left="720"/>
              <w:rPr>
                <w:rFonts w:cs="Arial"/>
                <w:szCs w:val="24"/>
              </w:rPr>
            </w:pPr>
          </w:p>
        </w:tc>
        <w:tc>
          <w:tcPr>
            <w:tcW w:w="4394" w:type="dxa"/>
            <w:shd w:val="clear" w:color="auto" w:fill="C0C0C0"/>
          </w:tcPr>
          <w:p w:rsidR="006D3284" w:rsidRDefault="006D3284" w:rsidP="00D70CD6">
            <w:pPr>
              <w:rPr>
                <w:sz w:val="22"/>
              </w:rPr>
            </w:pPr>
          </w:p>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4C6C9B" w:rsidTr="00781F6A">
        <w:tblPrEx>
          <w:tblCellMar>
            <w:top w:w="0" w:type="dxa"/>
            <w:bottom w:w="0" w:type="dxa"/>
          </w:tblCellMar>
        </w:tblPrEx>
        <w:tc>
          <w:tcPr>
            <w:tcW w:w="5353" w:type="dxa"/>
          </w:tcPr>
          <w:p w:rsidR="004C6C9B" w:rsidRPr="0025709A" w:rsidRDefault="004C6C9B" w:rsidP="004C6C9B">
            <w:pPr>
              <w:rPr>
                <w:rFonts w:cs="Arial"/>
                <w:sz w:val="22"/>
                <w:szCs w:val="22"/>
              </w:rPr>
            </w:pPr>
            <w:r w:rsidRPr="0025709A">
              <w:rPr>
                <w:rFonts w:cs="Arial"/>
                <w:sz w:val="22"/>
                <w:szCs w:val="22"/>
              </w:rPr>
              <w:t>Glasgow City Council mapping of Refugee/Asylum</w:t>
            </w:r>
          </w:p>
          <w:p w:rsidR="004C6C9B" w:rsidRPr="0025709A" w:rsidRDefault="004C6C9B" w:rsidP="004C6C9B">
            <w:pPr>
              <w:rPr>
                <w:rFonts w:cs="Arial"/>
                <w:sz w:val="22"/>
                <w:szCs w:val="22"/>
              </w:rPr>
            </w:pPr>
            <w:r w:rsidRPr="0025709A">
              <w:rPr>
                <w:rFonts w:cs="Arial"/>
                <w:sz w:val="22"/>
                <w:szCs w:val="22"/>
              </w:rPr>
              <w:t>Seekers and BME population (2015)</w:t>
            </w:r>
          </w:p>
          <w:p w:rsidR="004C6C9B" w:rsidRPr="0025709A" w:rsidRDefault="004C6C9B" w:rsidP="004C6C9B">
            <w:pPr>
              <w:rPr>
                <w:rFonts w:cs="Arial"/>
                <w:sz w:val="22"/>
                <w:szCs w:val="22"/>
              </w:rPr>
            </w:pPr>
          </w:p>
          <w:p w:rsidR="004C6C9B" w:rsidRPr="0025709A" w:rsidRDefault="004C6C9B" w:rsidP="004C6C9B">
            <w:pPr>
              <w:rPr>
                <w:rFonts w:cs="Arial"/>
                <w:sz w:val="22"/>
                <w:szCs w:val="22"/>
              </w:rPr>
            </w:pPr>
            <w:r w:rsidRPr="0025709A">
              <w:rPr>
                <w:rFonts w:cs="Arial"/>
                <w:sz w:val="22"/>
                <w:szCs w:val="22"/>
              </w:rPr>
              <w:t>Scottish Transport Statistics (2016)</w:t>
            </w:r>
          </w:p>
          <w:p w:rsidR="004C6C9B" w:rsidRPr="0025709A" w:rsidRDefault="004C6C9B" w:rsidP="004C6C9B">
            <w:pPr>
              <w:rPr>
                <w:rFonts w:cs="Arial"/>
                <w:sz w:val="22"/>
                <w:szCs w:val="22"/>
              </w:rPr>
            </w:pPr>
          </w:p>
          <w:p w:rsidR="004C6C9B" w:rsidRPr="0025709A" w:rsidRDefault="004C6C9B" w:rsidP="004C6C9B">
            <w:pPr>
              <w:rPr>
                <w:rFonts w:cs="Arial"/>
                <w:sz w:val="22"/>
                <w:szCs w:val="22"/>
              </w:rPr>
            </w:pPr>
            <w:r w:rsidRPr="0025709A">
              <w:rPr>
                <w:rFonts w:cs="Arial"/>
                <w:sz w:val="22"/>
                <w:szCs w:val="22"/>
              </w:rPr>
              <w:t>Scottish Index of Multiple Deprivation (2016)</w:t>
            </w:r>
          </w:p>
        </w:tc>
        <w:tc>
          <w:tcPr>
            <w:tcW w:w="4394" w:type="dxa"/>
          </w:tcPr>
          <w:p w:rsidR="004C6C9B" w:rsidRPr="0025709A" w:rsidRDefault="004C6C9B" w:rsidP="004C6C9B">
            <w:pPr>
              <w:rPr>
                <w:rFonts w:cs="Arial"/>
                <w:sz w:val="22"/>
                <w:szCs w:val="22"/>
              </w:rPr>
            </w:pPr>
            <w:r w:rsidRPr="0025709A">
              <w:rPr>
                <w:rFonts w:cs="Arial"/>
                <w:sz w:val="22"/>
                <w:szCs w:val="22"/>
              </w:rPr>
              <w:t>BME population, with particular reference</w:t>
            </w:r>
          </w:p>
          <w:p w:rsidR="004C6C9B" w:rsidRPr="0025709A" w:rsidRDefault="004C6C9B" w:rsidP="004C6C9B">
            <w:pPr>
              <w:rPr>
                <w:rFonts w:cs="Arial"/>
                <w:sz w:val="22"/>
                <w:szCs w:val="22"/>
              </w:rPr>
            </w:pPr>
            <w:r w:rsidRPr="0025709A">
              <w:rPr>
                <w:rFonts w:cs="Arial"/>
                <w:sz w:val="22"/>
                <w:szCs w:val="22"/>
              </w:rPr>
              <w:t>to refugees and asylum seekers</w:t>
            </w:r>
          </w:p>
          <w:p w:rsidR="004C6C9B" w:rsidRPr="0025709A" w:rsidRDefault="004C6C9B" w:rsidP="004C6C9B">
            <w:pPr>
              <w:rPr>
                <w:rFonts w:cs="Arial"/>
                <w:sz w:val="22"/>
                <w:szCs w:val="22"/>
              </w:rPr>
            </w:pPr>
          </w:p>
          <w:p w:rsidR="004C6C9B" w:rsidRPr="0025709A" w:rsidRDefault="004C6C9B" w:rsidP="004C6C9B">
            <w:pPr>
              <w:rPr>
                <w:rFonts w:cs="Arial"/>
                <w:sz w:val="22"/>
                <w:szCs w:val="22"/>
              </w:rPr>
            </w:pPr>
            <w:r w:rsidRPr="0025709A">
              <w:rPr>
                <w:rFonts w:cs="Arial"/>
                <w:sz w:val="22"/>
                <w:szCs w:val="22"/>
              </w:rPr>
              <w:t>Gender, Disability, Age</w:t>
            </w:r>
          </w:p>
          <w:p w:rsidR="004C6C9B" w:rsidRPr="0025709A" w:rsidRDefault="004C6C9B" w:rsidP="004C6C9B">
            <w:pPr>
              <w:rPr>
                <w:rFonts w:cs="Arial"/>
                <w:sz w:val="22"/>
                <w:szCs w:val="22"/>
              </w:rPr>
            </w:pPr>
          </w:p>
          <w:p w:rsidR="004C6C9B" w:rsidRPr="0025709A" w:rsidRDefault="004C6C9B" w:rsidP="004C6C9B">
            <w:pPr>
              <w:rPr>
                <w:rFonts w:cs="Arial"/>
                <w:sz w:val="22"/>
                <w:szCs w:val="22"/>
              </w:rPr>
            </w:pPr>
            <w:r w:rsidRPr="0025709A">
              <w:rPr>
                <w:rFonts w:cs="Arial"/>
                <w:sz w:val="22"/>
                <w:szCs w:val="22"/>
              </w:rPr>
              <w:t>All</w:t>
            </w:r>
          </w:p>
        </w:tc>
        <w:tc>
          <w:tcPr>
            <w:tcW w:w="4394" w:type="dxa"/>
          </w:tcPr>
          <w:p w:rsidR="004C6C9B" w:rsidRDefault="004C6C9B" w:rsidP="004C6C9B">
            <w:pPr>
              <w:rPr>
                <w:sz w:val="22"/>
              </w:rPr>
            </w:pPr>
            <w:r w:rsidRPr="004C6C9B">
              <w:rPr>
                <w:sz w:val="22"/>
              </w:rPr>
              <w:t>Glasgow shows a higher than average</w:t>
            </w:r>
            <w:r w:rsidR="00183BFB">
              <w:rPr>
                <w:sz w:val="22"/>
              </w:rPr>
              <w:t xml:space="preserve"> </w:t>
            </w:r>
            <w:r w:rsidRPr="004C6C9B">
              <w:rPr>
                <w:sz w:val="22"/>
              </w:rPr>
              <w:t>climate disadvantage (particularly in</w:t>
            </w:r>
            <w:r w:rsidR="00183BFB">
              <w:rPr>
                <w:sz w:val="22"/>
              </w:rPr>
              <w:t xml:space="preserve"> </w:t>
            </w:r>
            <w:r w:rsidRPr="004C6C9B">
              <w:rPr>
                <w:sz w:val="22"/>
              </w:rPr>
              <w:t>relation to flood events) compared with the</w:t>
            </w:r>
            <w:r w:rsidR="00183BFB">
              <w:rPr>
                <w:sz w:val="22"/>
              </w:rPr>
              <w:t xml:space="preserve"> </w:t>
            </w:r>
            <w:r w:rsidRPr="004C6C9B">
              <w:rPr>
                <w:sz w:val="22"/>
              </w:rPr>
              <w:t>rest of Scotland, with some of the most</w:t>
            </w:r>
            <w:r w:rsidR="00183BFB">
              <w:rPr>
                <w:sz w:val="22"/>
              </w:rPr>
              <w:t xml:space="preserve"> </w:t>
            </w:r>
            <w:r w:rsidRPr="004C6C9B">
              <w:rPr>
                <w:sz w:val="22"/>
              </w:rPr>
              <w:t>disadvantaged neighbourhoods situated in</w:t>
            </w:r>
            <w:r w:rsidR="00183BFB">
              <w:rPr>
                <w:sz w:val="22"/>
              </w:rPr>
              <w:t xml:space="preserve"> </w:t>
            </w:r>
            <w:r w:rsidRPr="004C6C9B">
              <w:rPr>
                <w:sz w:val="22"/>
              </w:rPr>
              <w:t>the east and north of the city.</w:t>
            </w:r>
          </w:p>
        </w:tc>
      </w:tr>
      <w:tr w:rsidR="004C6C9B" w:rsidTr="00781F6A">
        <w:tblPrEx>
          <w:tblCellMar>
            <w:top w:w="0" w:type="dxa"/>
            <w:bottom w:w="0" w:type="dxa"/>
          </w:tblCellMar>
        </w:tblPrEx>
        <w:tc>
          <w:tcPr>
            <w:tcW w:w="5353" w:type="dxa"/>
          </w:tcPr>
          <w:p w:rsidR="004C6C9B" w:rsidRPr="0025709A" w:rsidRDefault="004C6C9B" w:rsidP="0021793B">
            <w:pPr>
              <w:rPr>
                <w:rFonts w:cs="Arial"/>
                <w:sz w:val="22"/>
                <w:szCs w:val="22"/>
              </w:rPr>
            </w:pPr>
            <w:r w:rsidRPr="0025709A">
              <w:rPr>
                <w:rFonts w:cs="Arial"/>
                <w:sz w:val="22"/>
                <w:szCs w:val="22"/>
              </w:rPr>
              <w:t>Scottish Household survey data (2012)</w:t>
            </w:r>
          </w:p>
        </w:tc>
        <w:tc>
          <w:tcPr>
            <w:tcW w:w="4394" w:type="dxa"/>
          </w:tcPr>
          <w:p w:rsidR="004C6C9B" w:rsidRPr="0025709A" w:rsidRDefault="004C6C9B" w:rsidP="00030EEA">
            <w:pPr>
              <w:rPr>
                <w:rFonts w:cs="Arial"/>
                <w:sz w:val="22"/>
                <w:szCs w:val="22"/>
              </w:rPr>
            </w:pPr>
            <w:r w:rsidRPr="0025709A">
              <w:rPr>
                <w:rFonts w:cs="Arial"/>
                <w:sz w:val="22"/>
                <w:szCs w:val="22"/>
              </w:rPr>
              <w:t>All</w:t>
            </w:r>
          </w:p>
        </w:tc>
        <w:tc>
          <w:tcPr>
            <w:tcW w:w="4394" w:type="dxa"/>
          </w:tcPr>
          <w:p w:rsidR="004C6C9B" w:rsidRDefault="004C6C9B" w:rsidP="004C6C9B">
            <w:pPr>
              <w:rPr>
                <w:sz w:val="22"/>
              </w:rPr>
            </w:pPr>
            <w:r w:rsidRPr="004C6C9B">
              <w:rPr>
                <w:sz w:val="22"/>
              </w:rPr>
              <w:t>Climate change has the potential to impact</w:t>
            </w:r>
            <w:r w:rsidR="00183BFB">
              <w:rPr>
                <w:sz w:val="22"/>
              </w:rPr>
              <w:t xml:space="preserve"> </w:t>
            </w:r>
            <w:r w:rsidRPr="004C6C9B">
              <w:rPr>
                <w:sz w:val="22"/>
              </w:rPr>
              <w:t>negatively on existing inequalities and</w:t>
            </w:r>
            <w:r w:rsidR="00183BFB">
              <w:rPr>
                <w:sz w:val="22"/>
              </w:rPr>
              <w:t xml:space="preserve"> </w:t>
            </w:r>
            <w:r w:rsidRPr="004C6C9B">
              <w:rPr>
                <w:sz w:val="22"/>
              </w:rPr>
              <w:t>disadvantage in Glasgow and Scotland</w:t>
            </w:r>
          </w:p>
        </w:tc>
      </w:tr>
      <w:tr w:rsidR="00CE1909" w:rsidTr="00781F6A">
        <w:tblPrEx>
          <w:tblCellMar>
            <w:top w:w="0" w:type="dxa"/>
            <w:bottom w:w="0" w:type="dxa"/>
          </w:tblCellMar>
        </w:tblPrEx>
        <w:tc>
          <w:tcPr>
            <w:tcW w:w="5353" w:type="dxa"/>
          </w:tcPr>
          <w:p w:rsidR="00874EAF" w:rsidRPr="0025709A" w:rsidRDefault="00030EEA" w:rsidP="00183BFB">
            <w:pPr>
              <w:rPr>
                <w:rFonts w:cs="Arial"/>
                <w:sz w:val="22"/>
                <w:szCs w:val="22"/>
              </w:rPr>
            </w:pPr>
            <w:r w:rsidRPr="0025709A">
              <w:rPr>
                <w:rFonts w:cs="Arial"/>
                <w:sz w:val="22"/>
                <w:szCs w:val="22"/>
                <w:lang w:val="en"/>
              </w:rPr>
              <w:t>Mikkelson et al finds that among countries the number of species that are threatened or declining increases substantially with the Gini ratio of income inequality.</w:t>
            </w:r>
          </w:p>
        </w:tc>
        <w:tc>
          <w:tcPr>
            <w:tcW w:w="4394" w:type="dxa"/>
          </w:tcPr>
          <w:p w:rsidR="00030EEA" w:rsidRPr="0025709A" w:rsidRDefault="00DA39AE" w:rsidP="00030EEA">
            <w:pPr>
              <w:rPr>
                <w:rFonts w:cs="Arial"/>
                <w:sz w:val="22"/>
                <w:szCs w:val="22"/>
              </w:rPr>
            </w:pPr>
            <w:r>
              <w:rPr>
                <w:rFonts w:cs="Arial"/>
                <w:sz w:val="22"/>
                <w:szCs w:val="22"/>
              </w:rPr>
              <w:t>All</w:t>
            </w:r>
          </w:p>
          <w:p w:rsidR="00CE1909" w:rsidRPr="0025709A" w:rsidRDefault="00CE1909" w:rsidP="0021793B">
            <w:pPr>
              <w:rPr>
                <w:rFonts w:cs="Arial"/>
                <w:sz w:val="22"/>
                <w:szCs w:val="22"/>
              </w:rPr>
            </w:pPr>
          </w:p>
        </w:tc>
        <w:tc>
          <w:tcPr>
            <w:tcW w:w="4394" w:type="dxa"/>
          </w:tcPr>
          <w:p w:rsidR="00CE1909" w:rsidRDefault="00CE1909" w:rsidP="0021793B">
            <w:pPr>
              <w:rPr>
                <w:sz w:val="22"/>
              </w:rPr>
            </w:pPr>
          </w:p>
        </w:tc>
      </w:tr>
      <w:tr w:rsidR="00CE1909" w:rsidTr="00781F6A">
        <w:tblPrEx>
          <w:tblCellMar>
            <w:top w:w="0" w:type="dxa"/>
            <w:bottom w:w="0" w:type="dxa"/>
          </w:tblCellMar>
        </w:tblPrEx>
        <w:tc>
          <w:tcPr>
            <w:tcW w:w="5353" w:type="dxa"/>
          </w:tcPr>
          <w:p w:rsidR="00874EAF" w:rsidRPr="00183BFB" w:rsidRDefault="00030EEA" w:rsidP="00183BFB">
            <w:pPr>
              <w:autoSpaceDE w:val="0"/>
              <w:autoSpaceDN w:val="0"/>
              <w:adjustRightInd w:val="0"/>
              <w:rPr>
                <w:rFonts w:cs="Arial"/>
                <w:color w:val="231F20"/>
                <w:sz w:val="22"/>
                <w:szCs w:val="22"/>
                <w:lang w:eastAsia="en-GB"/>
              </w:rPr>
            </w:pPr>
            <w:r w:rsidRPr="0025709A">
              <w:rPr>
                <w:rFonts w:cs="Arial"/>
                <w:sz w:val="22"/>
                <w:szCs w:val="22"/>
              </w:rPr>
              <w:t xml:space="preserve">Research by CABE into greenspace and ethnicity has indicated that </w:t>
            </w:r>
            <w:r w:rsidRPr="0025709A">
              <w:rPr>
                <w:rFonts w:cs="Arial"/>
                <w:color w:val="231F20"/>
                <w:sz w:val="22"/>
                <w:szCs w:val="22"/>
                <w:lang w:eastAsia="en-GB"/>
              </w:rPr>
              <w:t>locally led green space improvements (such as those outlined in the implementation plan) foster</w:t>
            </w:r>
            <w:r w:rsidR="00DA39AE">
              <w:rPr>
                <w:rFonts w:cs="Arial"/>
                <w:color w:val="231F20"/>
                <w:sz w:val="22"/>
                <w:szCs w:val="22"/>
                <w:lang w:eastAsia="en-GB"/>
              </w:rPr>
              <w:t xml:space="preserve"> </w:t>
            </w:r>
            <w:r w:rsidRPr="0025709A">
              <w:rPr>
                <w:rFonts w:cs="Arial"/>
                <w:color w:val="231F20"/>
                <w:sz w:val="22"/>
                <w:szCs w:val="22"/>
                <w:lang w:eastAsia="en-GB"/>
              </w:rPr>
              <w:t>community pride and create spaces people feel</w:t>
            </w:r>
            <w:r w:rsidR="00DA39AE">
              <w:rPr>
                <w:rFonts w:cs="Arial"/>
                <w:color w:val="231F20"/>
                <w:sz w:val="22"/>
                <w:szCs w:val="22"/>
                <w:lang w:eastAsia="en-GB"/>
              </w:rPr>
              <w:t xml:space="preserve"> </w:t>
            </w:r>
            <w:r w:rsidRPr="0025709A">
              <w:rPr>
                <w:rFonts w:cs="Arial"/>
                <w:color w:val="231F20"/>
                <w:sz w:val="22"/>
                <w:szCs w:val="22"/>
                <w:lang w:eastAsia="en-GB"/>
              </w:rPr>
              <w:t>safe and confident using, addressing current disparities.</w:t>
            </w:r>
          </w:p>
        </w:tc>
        <w:tc>
          <w:tcPr>
            <w:tcW w:w="4394" w:type="dxa"/>
          </w:tcPr>
          <w:p w:rsidR="00030EEA" w:rsidRPr="0025709A" w:rsidRDefault="00DA39AE" w:rsidP="00030EEA">
            <w:pPr>
              <w:rPr>
                <w:rFonts w:cs="Arial"/>
                <w:sz w:val="22"/>
                <w:szCs w:val="22"/>
              </w:rPr>
            </w:pPr>
            <w:r>
              <w:rPr>
                <w:rFonts w:cs="Arial"/>
                <w:sz w:val="22"/>
                <w:szCs w:val="22"/>
              </w:rPr>
              <w:t>All</w:t>
            </w:r>
          </w:p>
          <w:p w:rsidR="00CE1909" w:rsidRPr="0025709A" w:rsidRDefault="00CE1909" w:rsidP="0021793B">
            <w:pPr>
              <w:rPr>
                <w:rFonts w:cs="Arial"/>
                <w:sz w:val="22"/>
                <w:szCs w:val="22"/>
              </w:rPr>
            </w:pPr>
          </w:p>
        </w:tc>
        <w:tc>
          <w:tcPr>
            <w:tcW w:w="4394" w:type="dxa"/>
          </w:tcPr>
          <w:p w:rsidR="00CE1909" w:rsidRDefault="00CE1909" w:rsidP="00030EEA">
            <w:pPr>
              <w:rPr>
                <w:sz w:val="22"/>
              </w:rPr>
            </w:pPr>
          </w:p>
        </w:tc>
      </w:tr>
      <w:tr w:rsidR="00CE1909" w:rsidTr="00781F6A">
        <w:tblPrEx>
          <w:tblCellMar>
            <w:top w:w="0" w:type="dxa"/>
            <w:bottom w:w="0" w:type="dxa"/>
          </w:tblCellMar>
        </w:tblPrEx>
        <w:tc>
          <w:tcPr>
            <w:tcW w:w="5353" w:type="dxa"/>
          </w:tcPr>
          <w:p w:rsidR="004C6C9B" w:rsidRPr="0025709A" w:rsidRDefault="004C6C9B" w:rsidP="004C6C9B">
            <w:pPr>
              <w:rPr>
                <w:rFonts w:cs="Arial"/>
                <w:sz w:val="22"/>
                <w:szCs w:val="22"/>
              </w:rPr>
            </w:pPr>
            <w:r w:rsidRPr="0025709A">
              <w:rPr>
                <w:rFonts w:cs="Arial"/>
                <w:sz w:val="22"/>
                <w:szCs w:val="22"/>
              </w:rPr>
              <w:t>Glasgow City Council population and neighbourhood</w:t>
            </w:r>
          </w:p>
          <w:p w:rsidR="004C6C9B" w:rsidRPr="0025709A" w:rsidRDefault="004C6C9B" w:rsidP="004C6C9B">
            <w:pPr>
              <w:rPr>
                <w:rFonts w:cs="Arial"/>
                <w:sz w:val="22"/>
                <w:szCs w:val="22"/>
              </w:rPr>
            </w:pPr>
            <w:r w:rsidRPr="0025709A">
              <w:rPr>
                <w:rFonts w:cs="Arial"/>
                <w:sz w:val="22"/>
                <w:szCs w:val="22"/>
              </w:rPr>
              <w:t>data (2017)</w:t>
            </w:r>
          </w:p>
          <w:p w:rsidR="004C6C9B" w:rsidRPr="0025709A" w:rsidRDefault="004C6C9B" w:rsidP="004C6C9B">
            <w:pPr>
              <w:rPr>
                <w:rFonts w:cs="Arial"/>
                <w:sz w:val="22"/>
                <w:szCs w:val="22"/>
              </w:rPr>
            </w:pPr>
          </w:p>
          <w:p w:rsidR="004C6C9B" w:rsidRPr="0025709A" w:rsidRDefault="004C6C9B" w:rsidP="004C6C9B">
            <w:pPr>
              <w:rPr>
                <w:rFonts w:cs="Arial"/>
                <w:sz w:val="22"/>
                <w:szCs w:val="22"/>
              </w:rPr>
            </w:pPr>
            <w:r w:rsidRPr="0025709A">
              <w:rPr>
                <w:rFonts w:cs="Arial"/>
                <w:sz w:val="22"/>
                <w:szCs w:val="22"/>
              </w:rPr>
              <w:t>Understanding Glasgow – The Glasgow Indicators</w:t>
            </w:r>
          </w:p>
          <w:p w:rsidR="004C6C9B" w:rsidRPr="0025709A" w:rsidRDefault="004C6C9B" w:rsidP="004C6C9B">
            <w:pPr>
              <w:rPr>
                <w:rFonts w:cs="Arial"/>
                <w:sz w:val="22"/>
                <w:szCs w:val="22"/>
              </w:rPr>
            </w:pPr>
            <w:r w:rsidRPr="0025709A">
              <w:rPr>
                <w:rFonts w:cs="Arial"/>
                <w:sz w:val="22"/>
                <w:szCs w:val="22"/>
              </w:rPr>
              <w:t>Project - http://www.understandingglasgow.com/</w:t>
            </w:r>
          </w:p>
          <w:p w:rsidR="004C6C9B" w:rsidRPr="0025709A" w:rsidRDefault="004C6C9B" w:rsidP="004C6C9B">
            <w:pPr>
              <w:rPr>
                <w:rFonts w:cs="Arial"/>
                <w:sz w:val="22"/>
                <w:szCs w:val="22"/>
              </w:rPr>
            </w:pPr>
          </w:p>
          <w:p w:rsidR="004C6C9B" w:rsidRPr="0025709A" w:rsidRDefault="004C6C9B" w:rsidP="004C6C9B">
            <w:pPr>
              <w:rPr>
                <w:rFonts w:cs="Arial"/>
                <w:sz w:val="22"/>
                <w:szCs w:val="22"/>
              </w:rPr>
            </w:pPr>
            <w:r w:rsidRPr="0025709A">
              <w:rPr>
                <w:rFonts w:cs="Arial"/>
                <w:sz w:val="22"/>
                <w:szCs w:val="22"/>
              </w:rPr>
              <w:t>Ruth, M and Ibarraran, M (2009) Distributional</w:t>
            </w:r>
          </w:p>
          <w:p w:rsidR="004C6C9B" w:rsidRPr="0025709A" w:rsidRDefault="004C6C9B" w:rsidP="004C6C9B">
            <w:pPr>
              <w:rPr>
                <w:rFonts w:cs="Arial"/>
                <w:sz w:val="22"/>
                <w:szCs w:val="22"/>
              </w:rPr>
            </w:pPr>
            <w:r w:rsidRPr="0025709A">
              <w:rPr>
                <w:rFonts w:cs="Arial"/>
                <w:sz w:val="22"/>
                <w:szCs w:val="22"/>
              </w:rPr>
              <w:t>Impacts of Climate Change and Disasters</w:t>
            </w:r>
          </w:p>
          <w:p w:rsidR="004C6C9B" w:rsidRPr="0025709A" w:rsidRDefault="004C6C9B" w:rsidP="004C6C9B">
            <w:pPr>
              <w:rPr>
                <w:rFonts w:cs="Arial"/>
                <w:sz w:val="22"/>
                <w:szCs w:val="22"/>
              </w:rPr>
            </w:pPr>
          </w:p>
          <w:p w:rsidR="004C6C9B" w:rsidRPr="0025709A" w:rsidRDefault="004C6C9B" w:rsidP="004C6C9B">
            <w:pPr>
              <w:rPr>
                <w:rFonts w:cs="Arial"/>
                <w:sz w:val="22"/>
                <w:szCs w:val="22"/>
              </w:rPr>
            </w:pPr>
            <w:r w:rsidRPr="0025709A">
              <w:rPr>
                <w:rFonts w:cs="Arial"/>
                <w:sz w:val="22"/>
                <w:szCs w:val="22"/>
              </w:rPr>
              <w:t>Hames, D. and Vardoulakis, S. (2012) Climate</w:t>
            </w:r>
          </w:p>
          <w:p w:rsidR="004C6C9B" w:rsidRPr="0025709A" w:rsidRDefault="004C6C9B" w:rsidP="004C6C9B">
            <w:pPr>
              <w:rPr>
                <w:rFonts w:cs="Arial"/>
                <w:sz w:val="22"/>
                <w:szCs w:val="22"/>
              </w:rPr>
            </w:pPr>
            <w:r w:rsidRPr="0025709A">
              <w:rPr>
                <w:rFonts w:cs="Arial"/>
                <w:sz w:val="22"/>
                <w:szCs w:val="22"/>
              </w:rPr>
              <w:t>Change Risk Assessment for the Health Sector</w:t>
            </w:r>
          </w:p>
          <w:p w:rsidR="004C6C9B" w:rsidRPr="0025709A" w:rsidRDefault="004C6C9B" w:rsidP="004C6C9B">
            <w:pPr>
              <w:rPr>
                <w:rFonts w:cs="Arial"/>
                <w:sz w:val="22"/>
                <w:szCs w:val="22"/>
              </w:rPr>
            </w:pPr>
          </w:p>
          <w:p w:rsidR="004C6C9B" w:rsidRPr="0025709A" w:rsidRDefault="004C6C9B" w:rsidP="004C6C9B">
            <w:pPr>
              <w:rPr>
                <w:rFonts w:cs="Arial"/>
                <w:sz w:val="22"/>
                <w:szCs w:val="22"/>
              </w:rPr>
            </w:pPr>
            <w:r w:rsidRPr="0025709A">
              <w:rPr>
                <w:rFonts w:cs="Arial"/>
                <w:sz w:val="22"/>
                <w:szCs w:val="22"/>
              </w:rPr>
              <w:t>Joseph Rowntree Foundation (2013) Distribution of</w:t>
            </w:r>
          </w:p>
          <w:p w:rsidR="00874EAF" w:rsidRPr="0025709A" w:rsidRDefault="004C6C9B" w:rsidP="004C6C9B">
            <w:pPr>
              <w:rPr>
                <w:rFonts w:cs="Arial"/>
                <w:sz w:val="22"/>
                <w:szCs w:val="22"/>
              </w:rPr>
            </w:pPr>
            <w:r w:rsidRPr="0025709A">
              <w:rPr>
                <w:rFonts w:cs="Arial"/>
                <w:sz w:val="22"/>
                <w:szCs w:val="22"/>
              </w:rPr>
              <w:t>Carbon Emissions in the UK</w:t>
            </w:r>
          </w:p>
        </w:tc>
        <w:tc>
          <w:tcPr>
            <w:tcW w:w="4394" w:type="dxa"/>
          </w:tcPr>
          <w:p w:rsidR="00CE1909" w:rsidRPr="0025709A" w:rsidRDefault="004C6C9B" w:rsidP="0021793B">
            <w:pPr>
              <w:rPr>
                <w:rFonts w:cs="Arial"/>
                <w:sz w:val="22"/>
                <w:szCs w:val="22"/>
              </w:rPr>
            </w:pPr>
            <w:r w:rsidRPr="0025709A">
              <w:rPr>
                <w:rFonts w:cs="Arial"/>
                <w:sz w:val="22"/>
                <w:szCs w:val="22"/>
              </w:rPr>
              <w:t>All</w:t>
            </w:r>
          </w:p>
          <w:p w:rsidR="004C6C9B" w:rsidRPr="0025709A" w:rsidRDefault="004C6C9B" w:rsidP="0021793B">
            <w:pPr>
              <w:rPr>
                <w:rFonts w:cs="Arial"/>
                <w:sz w:val="22"/>
                <w:szCs w:val="22"/>
              </w:rPr>
            </w:pPr>
          </w:p>
          <w:p w:rsidR="004C6C9B" w:rsidRPr="0025709A" w:rsidRDefault="004C6C9B" w:rsidP="0021793B">
            <w:pPr>
              <w:rPr>
                <w:rFonts w:cs="Arial"/>
                <w:sz w:val="22"/>
                <w:szCs w:val="22"/>
              </w:rPr>
            </w:pPr>
          </w:p>
          <w:p w:rsidR="004C6C9B" w:rsidRPr="0025709A" w:rsidRDefault="004C6C9B" w:rsidP="0021793B">
            <w:pPr>
              <w:rPr>
                <w:rFonts w:cs="Arial"/>
                <w:sz w:val="22"/>
                <w:szCs w:val="22"/>
              </w:rPr>
            </w:pPr>
            <w:r w:rsidRPr="0025709A">
              <w:rPr>
                <w:rFonts w:cs="Arial"/>
                <w:sz w:val="22"/>
                <w:szCs w:val="22"/>
              </w:rPr>
              <w:t>All</w:t>
            </w:r>
          </w:p>
          <w:p w:rsidR="004C6C9B" w:rsidRPr="0025709A" w:rsidRDefault="004C6C9B" w:rsidP="0021793B">
            <w:pPr>
              <w:rPr>
                <w:rFonts w:cs="Arial"/>
                <w:sz w:val="22"/>
                <w:szCs w:val="22"/>
              </w:rPr>
            </w:pPr>
          </w:p>
          <w:p w:rsidR="004C6C9B" w:rsidRPr="0025709A" w:rsidRDefault="004C6C9B" w:rsidP="0021793B">
            <w:pPr>
              <w:rPr>
                <w:rFonts w:cs="Arial"/>
                <w:sz w:val="22"/>
                <w:szCs w:val="22"/>
              </w:rPr>
            </w:pPr>
          </w:p>
          <w:p w:rsidR="004C6C9B" w:rsidRPr="0025709A" w:rsidRDefault="0025709A" w:rsidP="0025709A">
            <w:pPr>
              <w:rPr>
                <w:rFonts w:cs="Arial"/>
                <w:sz w:val="22"/>
                <w:szCs w:val="22"/>
              </w:rPr>
            </w:pPr>
            <w:r w:rsidRPr="0025709A">
              <w:rPr>
                <w:rFonts w:cs="Arial"/>
                <w:sz w:val="22"/>
                <w:szCs w:val="22"/>
              </w:rPr>
              <w:t>Gender, Age, Socio-economic</w:t>
            </w:r>
          </w:p>
          <w:p w:rsidR="0025709A" w:rsidRPr="0025709A" w:rsidRDefault="0025709A" w:rsidP="0025709A">
            <w:pPr>
              <w:rPr>
                <w:rFonts w:cs="Arial"/>
                <w:sz w:val="22"/>
                <w:szCs w:val="22"/>
              </w:rPr>
            </w:pPr>
          </w:p>
          <w:p w:rsidR="0025709A" w:rsidRPr="0025709A" w:rsidRDefault="0025709A" w:rsidP="0025709A">
            <w:pPr>
              <w:rPr>
                <w:rFonts w:cs="Arial"/>
                <w:sz w:val="22"/>
                <w:szCs w:val="22"/>
              </w:rPr>
            </w:pPr>
          </w:p>
          <w:p w:rsidR="0025709A" w:rsidRPr="0025709A" w:rsidRDefault="0025709A" w:rsidP="0025709A">
            <w:pPr>
              <w:rPr>
                <w:rFonts w:cs="Arial"/>
                <w:sz w:val="22"/>
                <w:szCs w:val="22"/>
              </w:rPr>
            </w:pPr>
            <w:r w:rsidRPr="0025709A">
              <w:rPr>
                <w:rFonts w:cs="Arial"/>
                <w:sz w:val="22"/>
                <w:szCs w:val="22"/>
              </w:rPr>
              <w:t>Gender, Age, Socio-economic</w:t>
            </w:r>
          </w:p>
          <w:p w:rsidR="0025709A" w:rsidRPr="0025709A" w:rsidRDefault="0025709A" w:rsidP="0025709A">
            <w:pPr>
              <w:rPr>
                <w:rFonts w:cs="Arial"/>
                <w:sz w:val="22"/>
                <w:szCs w:val="22"/>
              </w:rPr>
            </w:pPr>
          </w:p>
          <w:p w:rsidR="0025709A" w:rsidRPr="0025709A" w:rsidRDefault="0025709A" w:rsidP="0025709A">
            <w:pPr>
              <w:rPr>
                <w:rFonts w:cs="Arial"/>
                <w:sz w:val="22"/>
                <w:szCs w:val="22"/>
              </w:rPr>
            </w:pPr>
          </w:p>
          <w:p w:rsidR="0025709A" w:rsidRPr="0025709A" w:rsidRDefault="0025709A" w:rsidP="0025709A">
            <w:pPr>
              <w:rPr>
                <w:rFonts w:cs="Arial"/>
                <w:sz w:val="22"/>
                <w:szCs w:val="22"/>
              </w:rPr>
            </w:pPr>
            <w:r w:rsidRPr="0025709A">
              <w:rPr>
                <w:rFonts w:cs="Arial"/>
                <w:sz w:val="22"/>
                <w:szCs w:val="22"/>
              </w:rPr>
              <w:t>Socio-economic</w:t>
            </w:r>
          </w:p>
        </w:tc>
        <w:tc>
          <w:tcPr>
            <w:tcW w:w="4394" w:type="dxa"/>
          </w:tcPr>
          <w:p w:rsidR="00CE1909" w:rsidRDefault="0025709A" w:rsidP="0025709A">
            <w:pPr>
              <w:rPr>
                <w:sz w:val="22"/>
              </w:rPr>
            </w:pPr>
            <w:r w:rsidRPr="0025709A">
              <w:rPr>
                <w:sz w:val="22"/>
              </w:rPr>
              <w:t>There is therefore a clear need to consider</w:t>
            </w:r>
            <w:r w:rsidR="00183BFB">
              <w:rPr>
                <w:sz w:val="22"/>
              </w:rPr>
              <w:t xml:space="preserve"> </w:t>
            </w:r>
            <w:r w:rsidRPr="0025709A">
              <w:rPr>
                <w:sz w:val="22"/>
              </w:rPr>
              <w:t>the specific needs of vulnerable groups as</w:t>
            </w:r>
            <w:r w:rsidR="00183BFB">
              <w:rPr>
                <w:sz w:val="22"/>
              </w:rPr>
              <w:t xml:space="preserve"> </w:t>
            </w:r>
            <w:r w:rsidRPr="0025709A">
              <w:rPr>
                <w:sz w:val="22"/>
              </w:rPr>
              <w:t>part of the process of building more</w:t>
            </w:r>
            <w:r w:rsidR="00183BFB">
              <w:rPr>
                <w:sz w:val="22"/>
              </w:rPr>
              <w:t xml:space="preserve"> </w:t>
            </w:r>
            <w:r w:rsidRPr="0025709A">
              <w:rPr>
                <w:sz w:val="22"/>
              </w:rPr>
              <w:t>climate resilient places</w:t>
            </w:r>
            <w:r>
              <w:rPr>
                <w:sz w:val="22"/>
              </w:rPr>
              <w:t>, protecting and enhancing habitats</w:t>
            </w:r>
            <w:r w:rsidRPr="0025709A">
              <w:rPr>
                <w:sz w:val="22"/>
              </w:rPr>
              <w:t xml:space="preserve"> and communities.</w:t>
            </w:r>
          </w:p>
        </w:tc>
      </w:tr>
      <w:tr w:rsidR="00030EEA" w:rsidTr="00183BFB">
        <w:tblPrEx>
          <w:tblCellMar>
            <w:top w:w="0" w:type="dxa"/>
            <w:bottom w:w="0" w:type="dxa"/>
          </w:tblCellMar>
        </w:tblPrEx>
        <w:trPr>
          <w:trHeight w:val="1276"/>
        </w:trPr>
        <w:tc>
          <w:tcPr>
            <w:tcW w:w="5353" w:type="dxa"/>
          </w:tcPr>
          <w:p w:rsidR="00030EEA" w:rsidRPr="00183BFB" w:rsidRDefault="00030EEA" w:rsidP="00030EEA">
            <w:pPr>
              <w:rPr>
                <w:rStyle w:val="st1"/>
                <w:rFonts w:cs="Arial"/>
                <w:sz w:val="22"/>
                <w:szCs w:val="22"/>
              </w:rPr>
            </w:pPr>
            <w:r w:rsidRPr="00183BFB">
              <w:rPr>
                <w:rStyle w:val="st1"/>
                <w:rFonts w:cs="Arial"/>
                <w:sz w:val="22"/>
                <w:szCs w:val="22"/>
              </w:rPr>
              <w:t>Resea</w:t>
            </w:r>
            <w:r w:rsidR="009D7CCA" w:rsidRPr="00183BFB">
              <w:rPr>
                <w:rStyle w:val="st1"/>
                <w:rFonts w:cs="Arial"/>
                <w:sz w:val="22"/>
                <w:szCs w:val="22"/>
              </w:rPr>
              <w:t>r</w:t>
            </w:r>
            <w:r w:rsidRPr="00183BFB">
              <w:rPr>
                <w:rStyle w:val="st1"/>
                <w:rFonts w:cs="Arial"/>
                <w:sz w:val="22"/>
                <w:szCs w:val="22"/>
              </w:rPr>
              <w:t>ch from The New Economics Foundation, amongst others, demonst</w:t>
            </w:r>
            <w:r w:rsidR="009D7CCA" w:rsidRPr="00183BFB">
              <w:rPr>
                <w:rStyle w:val="st1"/>
                <w:rFonts w:cs="Arial"/>
                <w:sz w:val="22"/>
                <w:szCs w:val="22"/>
              </w:rPr>
              <w:t>r</w:t>
            </w:r>
            <w:r w:rsidRPr="00183BFB">
              <w:rPr>
                <w:rStyle w:val="st1"/>
                <w:rFonts w:cs="Arial"/>
                <w:sz w:val="22"/>
                <w:szCs w:val="22"/>
              </w:rPr>
              <w:t>ated that Forest Schools</w:t>
            </w:r>
            <w:r w:rsidR="007B63E5" w:rsidRPr="00183BFB">
              <w:rPr>
                <w:rStyle w:val="st1"/>
                <w:rFonts w:cs="Arial"/>
                <w:sz w:val="22"/>
                <w:szCs w:val="22"/>
              </w:rPr>
              <w:t>/ Environmental Education</w:t>
            </w:r>
            <w:r w:rsidRPr="00183BFB">
              <w:rPr>
                <w:rStyle w:val="st1"/>
                <w:rFonts w:cs="Arial"/>
                <w:sz w:val="22"/>
                <w:szCs w:val="22"/>
              </w:rPr>
              <w:t xml:space="preserve"> had the following benefits:</w:t>
            </w:r>
          </w:p>
          <w:p w:rsidR="00030EEA" w:rsidRPr="00183BFB" w:rsidRDefault="00030EEA" w:rsidP="00030EEA">
            <w:pPr>
              <w:numPr>
                <w:ilvl w:val="0"/>
                <w:numId w:val="23"/>
              </w:numPr>
              <w:spacing w:before="100" w:beforeAutospacing="1" w:after="100" w:afterAutospacing="1"/>
              <w:rPr>
                <w:rStyle w:val="st1"/>
                <w:rFonts w:cs="Arial"/>
                <w:sz w:val="22"/>
                <w:szCs w:val="22"/>
              </w:rPr>
            </w:pPr>
            <w:r w:rsidRPr="00183BFB">
              <w:rPr>
                <w:rStyle w:val="st1"/>
                <w:rFonts w:cs="Arial"/>
                <w:sz w:val="22"/>
                <w:szCs w:val="22"/>
              </w:rPr>
              <w:t>Confidence: children had the freedom, time and space to learn and demonstrate independence</w:t>
            </w:r>
          </w:p>
          <w:p w:rsidR="00030EEA" w:rsidRPr="00183BFB" w:rsidRDefault="00030EEA" w:rsidP="00030EEA">
            <w:pPr>
              <w:numPr>
                <w:ilvl w:val="0"/>
                <w:numId w:val="23"/>
              </w:numPr>
              <w:spacing w:before="100" w:beforeAutospacing="1" w:after="100" w:afterAutospacing="1"/>
              <w:rPr>
                <w:rStyle w:val="st1"/>
                <w:rFonts w:cs="Arial"/>
                <w:sz w:val="22"/>
                <w:szCs w:val="22"/>
              </w:rPr>
            </w:pPr>
            <w:r w:rsidRPr="00183BFB">
              <w:rPr>
                <w:rStyle w:val="st1"/>
                <w:rFonts w:cs="Arial"/>
                <w:sz w:val="22"/>
                <w:szCs w:val="22"/>
              </w:rPr>
              <w:t>Social skills: children gained increased awareness of the consequences of their actions on peers through team activities such as sharing tools and participating in play</w:t>
            </w:r>
          </w:p>
          <w:p w:rsidR="00030EEA" w:rsidRPr="00183BFB" w:rsidRDefault="00030EEA" w:rsidP="00030EEA">
            <w:pPr>
              <w:numPr>
                <w:ilvl w:val="0"/>
                <w:numId w:val="23"/>
              </w:numPr>
              <w:spacing w:before="100" w:beforeAutospacing="1" w:after="100" w:afterAutospacing="1"/>
              <w:rPr>
                <w:rStyle w:val="st1"/>
                <w:rFonts w:cs="Arial"/>
                <w:sz w:val="22"/>
                <w:szCs w:val="22"/>
              </w:rPr>
            </w:pPr>
            <w:r w:rsidRPr="00183BFB">
              <w:rPr>
                <w:rStyle w:val="st1"/>
                <w:rFonts w:cs="Arial"/>
                <w:sz w:val="22"/>
                <w:szCs w:val="22"/>
              </w:rPr>
              <w:t>Communication: language development was prompted by the children’s sensory experiences</w:t>
            </w:r>
          </w:p>
          <w:p w:rsidR="00030EEA" w:rsidRPr="00183BFB" w:rsidRDefault="00030EEA" w:rsidP="00030EEA">
            <w:pPr>
              <w:numPr>
                <w:ilvl w:val="0"/>
                <w:numId w:val="23"/>
              </w:numPr>
              <w:spacing w:before="100" w:beforeAutospacing="1" w:after="100" w:afterAutospacing="1"/>
              <w:rPr>
                <w:rStyle w:val="st1"/>
                <w:rFonts w:cs="Arial"/>
                <w:sz w:val="22"/>
                <w:szCs w:val="22"/>
              </w:rPr>
            </w:pPr>
            <w:r w:rsidRPr="00183BFB">
              <w:rPr>
                <w:rStyle w:val="st1"/>
                <w:rFonts w:cs="Arial"/>
                <w:sz w:val="22"/>
                <w:szCs w:val="22"/>
              </w:rPr>
              <w:t>Motivation: the woodland tended to fascinate the children and they developed a keenness to participate and the ability to concentrate over longer periods of time</w:t>
            </w:r>
          </w:p>
          <w:p w:rsidR="00030EEA" w:rsidRPr="00183BFB" w:rsidRDefault="00030EEA" w:rsidP="00030EEA">
            <w:pPr>
              <w:numPr>
                <w:ilvl w:val="0"/>
                <w:numId w:val="23"/>
              </w:numPr>
              <w:spacing w:before="100" w:beforeAutospacing="1" w:after="100" w:afterAutospacing="1"/>
              <w:rPr>
                <w:rStyle w:val="st1"/>
                <w:rFonts w:cs="Arial"/>
                <w:sz w:val="22"/>
                <w:szCs w:val="22"/>
              </w:rPr>
            </w:pPr>
            <w:r w:rsidRPr="00183BFB">
              <w:rPr>
                <w:rStyle w:val="st1"/>
                <w:rFonts w:cs="Arial"/>
                <w:sz w:val="22"/>
                <w:szCs w:val="22"/>
              </w:rPr>
              <w:t>characterised by the development of physical stamina and gross and fine motor skills</w:t>
            </w:r>
          </w:p>
          <w:p w:rsidR="00030EEA" w:rsidRPr="00183BFB" w:rsidRDefault="00030EEA" w:rsidP="00183BFB">
            <w:pPr>
              <w:numPr>
                <w:ilvl w:val="0"/>
                <w:numId w:val="23"/>
              </w:numPr>
              <w:spacing w:before="100" w:beforeAutospacing="1" w:after="100" w:afterAutospacing="1"/>
              <w:rPr>
                <w:rStyle w:val="st1"/>
                <w:rFonts w:cs="Arial"/>
                <w:color w:val="545454"/>
                <w:sz w:val="22"/>
                <w:szCs w:val="22"/>
              </w:rPr>
            </w:pPr>
            <w:r w:rsidRPr="00183BFB">
              <w:rPr>
                <w:rStyle w:val="st1"/>
                <w:rFonts w:cs="Arial"/>
                <w:sz w:val="22"/>
                <w:szCs w:val="22"/>
              </w:rPr>
              <w:t>Knowledge and understanding: the children developed an interest in the natural surroundings and respect for the environment</w:t>
            </w:r>
          </w:p>
        </w:tc>
        <w:tc>
          <w:tcPr>
            <w:tcW w:w="4394" w:type="dxa"/>
          </w:tcPr>
          <w:p w:rsidR="00030EEA" w:rsidRPr="0025709A" w:rsidRDefault="00030EEA" w:rsidP="0021793B">
            <w:pPr>
              <w:rPr>
                <w:rFonts w:cs="Arial"/>
                <w:sz w:val="22"/>
                <w:szCs w:val="22"/>
              </w:rPr>
            </w:pPr>
            <w:r w:rsidRPr="0025709A">
              <w:rPr>
                <w:rFonts w:cs="Arial"/>
                <w:sz w:val="22"/>
                <w:szCs w:val="22"/>
              </w:rPr>
              <w:t>Age</w:t>
            </w:r>
          </w:p>
        </w:tc>
        <w:tc>
          <w:tcPr>
            <w:tcW w:w="4394" w:type="dxa"/>
          </w:tcPr>
          <w:p w:rsidR="00030EEA" w:rsidRDefault="00030EEA" w:rsidP="00030EEA">
            <w:pPr>
              <w:rPr>
                <w:sz w:val="22"/>
              </w:rPr>
            </w:pPr>
          </w:p>
        </w:tc>
      </w:tr>
      <w:tr w:rsidR="00030EEA" w:rsidTr="00781F6A">
        <w:tblPrEx>
          <w:tblCellMar>
            <w:top w:w="0" w:type="dxa"/>
            <w:bottom w:w="0" w:type="dxa"/>
          </w:tblCellMar>
        </w:tblPrEx>
        <w:tc>
          <w:tcPr>
            <w:tcW w:w="5353" w:type="dxa"/>
          </w:tcPr>
          <w:p w:rsidR="00030EEA" w:rsidRPr="00183BFB" w:rsidRDefault="00030EEA" w:rsidP="00030EEA">
            <w:pPr>
              <w:rPr>
                <w:rStyle w:val="st1"/>
                <w:rFonts w:cs="Arial"/>
                <w:sz w:val="22"/>
                <w:szCs w:val="22"/>
              </w:rPr>
            </w:pPr>
            <w:r w:rsidRPr="00183BFB">
              <w:rPr>
                <w:rStyle w:val="st1"/>
                <w:rFonts w:cs="Arial"/>
                <w:sz w:val="22"/>
                <w:szCs w:val="22"/>
              </w:rPr>
              <w:t>Initial Findings from a study by Loughborough University found that Forest School approach benefitted Early Years learning by contributing to the development of collaborative learning skills, by encouraging children to work with others on challenging outdoor activities.</w:t>
            </w:r>
          </w:p>
          <w:p w:rsidR="00030EEA" w:rsidRPr="0025709A" w:rsidRDefault="00030EEA" w:rsidP="00030EEA">
            <w:pPr>
              <w:rPr>
                <w:rStyle w:val="st1"/>
                <w:rFonts w:cs="Arial"/>
                <w:color w:val="545454"/>
                <w:sz w:val="22"/>
                <w:szCs w:val="22"/>
              </w:rPr>
            </w:pPr>
            <w:r w:rsidRPr="00183BFB">
              <w:rPr>
                <w:rStyle w:val="st1"/>
                <w:rFonts w:cs="Arial"/>
                <w:sz w:val="22"/>
                <w:szCs w:val="22"/>
              </w:rPr>
              <w:t>Well managed woodlands in cities provide the venue for Forest Schools to take place near to children’s homes and other educational facilities and by providing additional venues can allow scope for increased provision of Early Years places.</w:t>
            </w:r>
          </w:p>
        </w:tc>
        <w:tc>
          <w:tcPr>
            <w:tcW w:w="4394" w:type="dxa"/>
          </w:tcPr>
          <w:p w:rsidR="00030EEA" w:rsidRPr="0025709A" w:rsidRDefault="0025709A" w:rsidP="0025709A">
            <w:pPr>
              <w:rPr>
                <w:rFonts w:cs="Arial"/>
                <w:sz w:val="22"/>
                <w:szCs w:val="22"/>
              </w:rPr>
            </w:pPr>
            <w:r w:rsidRPr="0025709A">
              <w:rPr>
                <w:rFonts w:cs="Arial"/>
                <w:sz w:val="22"/>
                <w:szCs w:val="22"/>
              </w:rPr>
              <w:t>P</w:t>
            </w:r>
            <w:r w:rsidR="00030EEA" w:rsidRPr="0025709A">
              <w:rPr>
                <w:rFonts w:cs="Arial"/>
                <w:sz w:val="22"/>
                <w:szCs w:val="22"/>
              </w:rPr>
              <w:t>regnancy and maternity</w:t>
            </w:r>
          </w:p>
          <w:p w:rsidR="00030EEA" w:rsidRPr="0025709A" w:rsidRDefault="00030EEA" w:rsidP="0021793B">
            <w:pPr>
              <w:rPr>
                <w:rFonts w:cs="Arial"/>
                <w:sz w:val="22"/>
                <w:szCs w:val="22"/>
              </w:rPr>
            </w:pPr>
          </w:p>
        </w:tc>
        <w:tc>
          <w:tcPr>
            <w:tcW w:w="4394" w:type="dxa"/>
          </w:tcPr>
          <w:p w:rsidR="00030EEA" w:rsidRDefault="00030EEA" w:rsidP="00030EEA">
            <w:pPr>
              <w:rPr>
                <w:sz w:val="22"/>
              </w:rPr>
            </w:pPr>
          </w:p>
        </w:tc>
      </w:tr>
      <w:tr w:rsidR="00030EEA" w:rsidTr="00781F6A">
        <w:tblPrEx>
          <w:tblCellMar>
            <w:top w:w="0" w:type="dxa"/>
            <w:bottom w:w="0" w:type="dxa"/>
          </w:tblCellMar>
        </w:tblPrEx>
        <w:tc>
          <w:tcPr>
            <w:tcW w:w="5353" w:type="dxa"/>
          </w:tcPr>
          <w:p w:rsidR="001C56EF" w:rsidRPr="0025709A" w:rsidRDefault="001C56EF" w:rsidP="001C56EF">
            <w:pPr>
              <w:rPr>
                <w:rStyle w:val="st1"/>
                <w:rFonts w:cs="Arial"/>
                <w:color w:val="545454"/>
                <w:sz w:val="22"/>
                <w:szCs w:val="22"/>
              </w:rPr>
            </w:pPr>
            <w:hyperlink r:id="rId15" w:history="1">
              <w:r w:rsidRPr="0025709A">
                <w:rPr>
                  <w:rStyle w:val="Hyperlink"/>
                  <w:rFonts w:cs="Arial"/>
                  <w:sz w:val="22"/>
                  <w:szCs w:val="22"/>
                  <w:lang w:val="en"/>
                </w:rPr>
                <w:t>One UK study, carried out by King’s College Londo</w:t>
              </w:r>
            </w:hyperlink>
            <w:r w:rsidRPr="0025709A">
              <w:rPr>
                <w:rFonts w:cs="Arial"/>
                <w:sz w:val="22"/>
                <w:szCs w:val="22"/>
                <w:lang w:val="en"/>
              </w:rPr>
              <w:t>n and published in January 2018, found that exposure to trees, the sky and birdsong in city woodlands improved mental wellbeing.</w:t>
            </w:r>
          </w:p>
          <w:p w:rsidR="00030EEA" w:rsidRPr="0025709A" w:rsidRDefault="00030EEA" w:rsidP="00030EEA">
            <w:pPr>
              <w:rPr>
                <w:rStyle w:val="st1"/>
                <w:rFonts w:cs="Arial"/>
                <w:color w:val="545454"/>
                <w:sz w:val="22"/>
                <w:szCs w:val="22"/>
              </w:rPr>
            </w:pPr>
          </w:p>
        </w:tc>
        <w:tc>
          <w:tcPr>
            <w:tcW w:w="4394" w:type="dxa"/>
          </w:tcPr>
          <w:p w:rsidR="00030EEA" w:rsidRPr="0025709A" w:rsidRDefault="001C56EF" w:rsidP="0025709A">
            <w:pPr>
              <w:rPr>
                <w:rFonts w:cs="Arial"/>
                <w:sz w:val="22"/>
                <w:szCs w:val="22"/>
              </w:rPr>
            </w:pPr>
            <w:r w:rsidRPr="0025709A">
              <w:rPr>
                <w:rFonts w:cs="Arial"/>
                <w:sz w:val="22"/>
                <w:szCs w:val="22"/>
              </w:rPr>
              <w:t>Mental Health</w:t>
            </w:r>
          </w:p>
        </w:tc>
        <w:tc>
          <w:tcPr>
            <w:tcW w:w="4394" w:type="dxa"/>
          </w:tcPr>
          <w:p w:rsidR="00030EEA" w:rsidRDefault="00030EEA" w:rsidP="00030EEA">
            <w:pPr>
              <w:rPr>
                <w:sz w:val="22"/>
              </w:rPr>
            </w:pPr>
          </w:p>
        </w:tc>
      </w:tr>
    </w:tbl>
    <w:p w:rsidR="00CE1909" w:rsidRDefault="00CE1909" w:rsidP="00CE1909">
      <w:pPr>
        <w:rPr>
          <w:sz w:val="22"/>
        </w:rPr>
      </w:pPr>
    </w:p>
    <w:p w:rsidR="00530518" w:rsidRDefault="00530518" w:rsidP="00CE1909">
      <w:pPr>
        <w:pStyle w:val="Heading1"/>
        <w:sectPr w:rsidR="00530518"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Default="00797EAC" w:rsidP="00781F6A">
      <w:pPr>
        <w:ind w:left="360"/>
        <w:rPr>
          <w:sz w:val="22"/>
          <w:szCs w:val="22"/>
        </w:rPr>
      </w:pPr>
    </w:p>
    <w:p w:rsidR="00A67987" w:rsidRPr="00781F6A" w:rsidRDefault="00077E39" w:rsidP="00AE6831">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tbl>
      <w:tblPr>
        <w:tblpPr w:leftFromText="180" w:rightFromText="180" w:vertAnchor="text" w:horzAnchor="margin" w:tblpX="468" w:tblpY="15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2602"/>
        <w:gridCol w:w="2864"/>
        <w:gridCol w:w="4820"/>
      </w:tblGrid>
      <w:tr w:rsidR="00163A6F" w:rsidTr="00183BFB">
        <w:tblPrEx>
          <w:tblCellMar>
            <w:top w:w="0" w:type="dxa"/>
            <w:bottom w:w="0" w:type="dxa"/>
          </w:tblCellMar>
        </w:tblPrEx>
        <w:trPr>
          <w:tblHeader/>
        </w:trPr>
        <w:tc>
          <w:tcPr>
            <w:tcW w:w="2088" w:type="dxa"/>
            <w:shd w:val="clear" w:color="auto" w:fill="C0C0C0"/>
          </w:tcPr>
          <w:p w:rsidR="00163A6F" w:rsidRPr="00874EAF" w:rsidRDefault="00163A6F" w:rsidP="00781F6A">
            <w:pPr>
              <w:jc w:val="both"/>
              <w:rPr>
                <w:b/>
                <w:sz w:val="22"/>
              </w:rPr>
            </w:pPr>
            <w:r w:rsidRPr="00874EAF">
              <w:rPr>
                <w:b/>
                <w:sz w:val="22"/>
              </w:rPr>
              <w:t>Protected Characteristic</w:t>
            </w:r>
          </w:p>
        </w:tc>
        <w:tc>
          <w:tcPr>
            <w:tcW w:w="2222" w:type="dxa"/>
            <w:shd w:val="clear" w:color="auto" w:fill="C0C0C0"/>
          </w:tcPr>
          <w:p w:rsidR="00163A6F" w:rsidRPr="0095563E" w:rsidRDefault="00163A6F" w:rsidP="00781F6A">
            <w:pPr>
              <w:rPr>
                <w:b/>
                <w:sz w:val="22"/>
              </w:rPr>
            </w:pPr>
            <w:r w:rsidRPr="0095563E">
              <w:rPr>
                <w:b/>
                <w:sz w:val="22"/>
              </w:rPr>
              <w:t>Specific Characteristics</w:t>
            </w:r>
          </w:p>
        </w:tc>
        <w:tc>
          <w:tcPr>
            <w:tcW w:w="2602" w:type="dxa"/>
            <w:shd w:val="clear" w:color="auto" w:fill="C0C0C0"/>
          </w:tcPr>
          <w:p w:rsidR="00711922" w:rsidRDefault="00711922" w:rsidP="00781F6A">
            <w:pPr>
              <w:rPr>
                <w:b/>
                <w:sz w:val="22"/>
              </w:rPr>
            </w:pPr>
            <w:r>
              <w:rPr>
                <w:b/>
                <w:sz w:val="22"/>
              </w:rPr>
              <w:t xml:space="preserve">Positive Impact </w:t>
            </w:r>
          </w:p>
          <w:p w:rsidR="00163A6F" w:rsidRPr="00823AE0" w:rsidRDefault="00711922" w:rsidP="00781F6A">
            <w:pPr>
              <w:rPr>
                <w:b/>
                <w:sz w:val="22"/>
              </w:rPr>
            </w:pPr>
            <w:r>
              <w:rPr>
                <w:b/>
                <w:sz w:val="22"/>
              </w:rPr>
              <w:t>(</w:t>
            </w:r>
            <w:r w:rsidR="00163A6F" w:rsidRPr="00711922">
              <w:rPr>
                <w:b/>
                <w:sz w:val="16"/>
                <w:szCs w:val="16"/>
              </w:rPr>
              <w:t>it could benefit an equality group</w:t>
            </w:r>
            <w:r>
              <w:rPr>
                <w:b/>
                <w:sz w:val="16"/>
                <w:szCs w:val="16"/>
              </w:rPr>
              <w:t>)</w:t>
            </w:r>
          </w:p>
        </w:tc>
        <w:tc>
          <w:tcPr>
            <w:tcW w:w="2864" w:type="dxa"/>
            <w:shd w:val="clear" w:color="auto" w:fill="C0C0C0"/>
          </w:tcPr>
          <w:p w:rsidR="00163A6F" w:rsidRDefault="00163A6F" w:rsidP="00781F6A">
            <w:pPr>
              <w:rPr>
                <w:b/>
                <w:sz w:val="22"/>
              </w:rPr>
            </w:pPr>
            <w:r w:rsidRPr="00823AE0">
              <w:rPr>
                <w:b/>
                <w:sz w:val="22"/>
              </w:rPr>
              <w:t xml:space="preserve">Negative Impact – </w:t>
            </w:r>
          </w:p>
          <w:p w:rsidR="00163A6F" w:rsidRPr="00711922" w:rsidRDefault="00711922" w:rsidP="00781F6A">
            <w:pPr>
              <w:rPr>
                <w:b/>
                <w:sz w:val="16"/>
                <w:szCs w:val="16"/>
              </w:rPr>
            </w:pPr>
            <w:r>
              <w:rPr>
                <w:b/>
                <w:sz w:val="16"/>
                <w:szCs w:val="16"/>
              </w:rPr>
              <w:t>(</w:t>
            </w:r>
            <w:r w:rsidR="00163A6F" w:rsidRPr="00711922">
              <w:rPr>
                <w:b/>
                <w:sz w:val="16"/>
                <w:szCs w:val="16"/>
              </w:rPr>
              <w:t>it could disadvantage an equality group</w:t>
            </w:r>
            <w:r>
              <w:rPr>
                <w:b/>
                <w:sz w:val="16"/>
                <w:szCs w:val="16"/>
              </w:rPr>
              <w:t>)</w:t>
            </w:r>
          </w:p>
        </w:tc>
        <w:tc>
          <w:tcPr>
            <w:tcW w:w="4820" w:type="dxa"/>
            <w:tcBorders>
              <w:bottom w:val="single" w:sz="4" w:space="0" w:color="auto"/>
            </w:tcBorders>
            <w:shd w:val="clear" w:color="auto" w:fill="C0C0C0"/>
          </w:tcPr>
          <w:p w:rsidR="00A67C25" w:rsidRDefault="00163A6F" w:rsidP="00781F6A">
            <w:pPr>
              <w:rPr>
                <w:b/>
                <w:sz w:val="22"/>
              </w:rPr>
            </w:pPr>
            <w:r>
              <w:rPr>
                <w:b/>
                <w:sz w:val="22"/>
              </w:rPr>
              <w:t xml:space="preserve">Socio Economic / </w:t>
            </w:r>
          </w:p>
          <w:p w:rsidR="00163A6F" w:rsidRPr="00823AE0" w:rsidRDefault="00163A6F" w:rsidP="00724573">
            <w:pPr>
              <w:rPr>
                <w:b/>
                <w:sz w:val="22"/>
              </w:rPr>
            </w:pPr>
            <w:r>
              <w:rPr>
                <w:b/>
                <w:sz w:val="22"/>
              </w:rPr>
              <w:t>Human Rights Impacts</w:t>
            </w:r>
          </w:p>
        </w:tc>
      </w:tr>
      <w:tr w:rsidR="00163A6F" w:rsidTr="00183BFB">
        <w:tblPrEx>
          <w:tblCellMar>
            <w:top w:w="0" w:type="dxa"/>
            <w:bottom w:w="0" w:type="dxa"/>
          </w:tblCellMar>
        </w:tblPrEx>
        <w:trPr>
          <w:trHeight w:val="530"/>
        </w:trPr>
        <w:tc>
          <w:tcPr>
            <w:tcW w:w="2088" w:type="dxa"/>
            <w:shd w:val="clear" w:color="auto" w:fill="CCFFFF"/>
            <w:vAlign w:val="center"/>
          </w:tcPr>
          <w:p w:rsidR="00163A6F" w:rsidRPr="00534BCA" w:rsidRDefault="00163A6F" w:rsidP="0070176D">
            <w:pPr>
              <w:rPr>
                <w:b/>
                <w:sz w:val="22"/>
              </w:rPr>
            </w:pPr>
            <w:r>
              <w:rPr>
                <w:b/>
                <w:sz w:val="22"/>
              </w:rPr>
              <w:t xml:space="preserve">SEX/ </w:t>
            </w:r>
            <w:r w:rsidRPr="00534BCA">
              <w:rPr>
                <w:b/>
                <w:sz w:val="22"/>
              </w:rPr>
              <w:t>GENDER</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25709A"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25709A" w:rsidP="00183BFB">
            <w:pPr>
              <w:rPr>
                <w:sz w:val="22"/>
              </w:rPr>
            </w:pPr>
            <w:r w:rsidRPr="0025709A">
              <w:rPr>
                <w:sz w:val="22"/>
              </w:rPr>
              <w:t xml:space="preserve">The effects of </w:t>
            </w:r>
            <w:r>
              <w:rPr>
                <w:sz w:val="22"/>
              </w:rPr>
              <w:t>ecological</w:t>
            </w:r>
            <w:r w:rsidRPr="0025709A">
              <w:rPr>
                <w:sz w:val="22"/>
              </w:rPr>
              <w:t xml:space="preserve"> change will</w:t>
            </w:r>
            <w:r w:rsidR="00183BFB">
              <w:rPr>
                <w:sz w:val="22"/>
              </w:rPr>
              <w:t xml:space="preserve"> </w:t>
            </w:r>
            <w:r w:rsidRPr="0025709A">
              <w:rPr>
                <w:sz w:val="22"/>
              </w:rPr>
              <w:t>interact with existing inequalities and</w:t>
            </w:r>
            <w:r w:rsidR="00183BFB">
              <w:rPr>
                <w:sz w:val="22"/>
              </w:rPr>
              <w:t xml:space="preserve"> </w:t>
            </w:r>
            <w:r w:rsidRPr="0025709A">
              <w:rPr>
                <w:sz w:val="22"/>
              </w:rPr>
              <w:t>power imbalances, both in Glasgow</w:t>
            </w:r>
            <w:r w:rsidR="00183BFB">
              <w:rPr>
                <w:sz w:val="22"/>
              </w:rPr>
              <w:t xml:space="preserve"> </w:t>
            </w:r>
            <w:r w:rsidRPr="0025709A">
              <w:rPr>
                <w:sz w:val="22"/>
              </w:rPr>
              <w:t>and globally, and there is therefore a</w:t>
            </w:r>
            <w:r w:rsidR="00183BFB">
              <w:rPr>
                <w:sz w:val="22"/>
              </w:rPr>
              <w:t xml:space="preserve"> </w:t>
            </w:r>
            <w:r w:rsidRPr="0025709A">
              <w:rPr>
                <w:sz w:val="22"/>
              </w:rPr>
              <w:t>strongly gendered aspect to its impacts.</w:t>
            </w:r>
          </w:p>
        </w:tc>
      </w:tr>
      <w:tr w:rsidR="00163A6F" w:rsidTr="00183BFB">
        <w:tblPrEx>
          <w:tblCellMar>
            <w:top w:w="0" w:type="dxa"/>
            <w:bottom w:w="0" w:type="dxa"/>
          </w:tblCellMar>
        </w:tblPrEx>
        <w:trPr>
          <w:trHeight w:val="55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473"/>
        </w:trPr>
        <w:tc>
          <w:tcPr>
            <w:tcW w:w="2088" w:type="dxa"/>
            <w:tcBorders>
              <w:bottom w:val="single" w:sz="4" w:space="0" w:color="auto"/>
            </w:tcBorders>
            <w:shd w:val="clear" w:color="auto" w:fill="CCFFFF"/>
          </w:tcPr>
          <w:p w:rsidR="00163A6F" w:rsidRPr="00534BCA" w:rsidRDefault="00163A6F" w:rsidP="00781F6A">
            <w:pPr>
              <w:rPr>
                <w:b/>
                <w:sz w:val="22"/>
              </w:rPr>
            </w:pPr>
          </w:p>
        </w:tc>
        <w:tc>
          <w:tcPr>
            <w:tcW w:w="2222" w:type="dxa"/>
            <w:tcBorders>
              <w:bottom w:val="single" w:sz="4" w:space="0" w:color="auto"/>
            </w:tcBorders>
            <w:shd w:val="clear" w:color="auto" w:fill="CCFFFF"/>
            <w:vAlign w:val="center"/>
          </w:tcPr>
          <w:p w:rsidR="00163A6F" w:rsidRDefault="00163A6F" w:rsidP="00B55E10">
            <w:pPr>
              <w:rPr>
                <w:sz w:val="22"/>
              </w:rPr>
            </w:pPr>
            <w:r>
              <w:rPr>
                <w:sz w:val="22"/>
              </w:rPr>
              <w:t>Transgender</w:t>
            </w:r>
          </w:p>
        </w:tc>
        <w:tc>
          <w:tcPr>
            <w:tcW w:w="2602" w:type="dxa"/>
            <w:tcBorders>
              <w:bottom w:val="single" w:sz="4" w:space="0" w:color="auto"/>
            </w:tcBorders>
          </w:tcPr>
          <w:p w:rsidR="00163A6F" w:rsidRDefault="0025709A" w:rsidP="00781F6A">
            <w:pPr>
              <w:rPr>
                <w:sz w:val="22"/>
              </w:rPr>
            </w:pPr>
            <w:r>
              <w:rPr>
                <w:sz w:val="22"/>
              </w:rPr>
              <w:t>X</w:t>
            </w:r>
          </w:p>
        </w:tc>
        <w:tc>
          <w:tcPr>
            <w:tcW w:w="2864" w:type="dxa"/>
            <w:tcBorders>
              <w:bottom w:val="single" w:sz="4" w:space="0" w:color="auto"/>
            </w:tcBorders>
          </w:tcPr>
          <w:p w:rsidR="00163A6F" w:rsidRDefault="00163A6F" w:rsidP="00781F6A">
            <w:pPr>
              <w:rPr>
                <w:sz w:val="22"/>
              </w:rPr>
            </w:pPr>
          </w:p>
        </w:tc>
        <w:tc>
          <w:tcPr>
            <w:tcW w:w="4820" w:type="dxa"/>
            <w:tcBorders>
              <w:bottom w:val="single" w:sz="4" w:space="0" w:color="auto"/>
            </w:tcBorders>
            <w:shd w:val="clear" w:color="auto" w:fill="FFCC99"/>
          </w:tcPr>
          <w:p w:rsidR="00163A6F" w:rsidRDefault="00163A6F" w:rsidP="00781F6A">
            <w:pPr>
              <w:rPr>
                <w:sz w:val="22"/>
              </w:rPr>
            </w:pPr>
          </w:p>
        </w:tc>
      </w:tr>
      <w:tr w:rsidR="00874EAF" w:rsidTr="00183BFB">
        <w:tblPrEx>
          <w:tblCellMar>
            <w:top w:w="0" w:type="dxa"/>
            <w:bottom w:w="0" w:type="dxa"/>
          </w:tblCellMar>
        </w:tblPrEx>
        <w:tc>
          <w:tcPr>
            <w:tcW w:w="14596" w:type="dxa"/>
            <w:gridSpan w:val="5"/>
            <w:shd w:val="clear" w:color="auto" w:fill="auto"/>
          </w:tcPr>
          <w:p w:rsidR="00874EAF" w:rsidRPr="00CD7794" w:rsidRDefault="00874EAF" w:rsidP="00781F6A">
            <w:pPr>
              <w:rPr>
                <w:sz w:val="18"/>
                <w:szCs w:val="18"/>
              </w:rPr>
            </w:pPr>
          </w:p>
        </w:tc>
      </w:tr>
      <w:tr w:rsidR="00163A6F" w:rsidTr="00183BFB">
        <w:tblPrEx>
          <w:tblCellMar>
            <w:top w:w="0" w:type="dxa"/>
            <w:bottom w:w="0" w:type="dxa"/>
          </w:tblCellMar>
        </w:tblPrEx>
        <w:trPr>
          <w:trHeight w:val="399"/>
        </w:trPr>
        <w:tc>
          <w:tcPr>
            <w:tcW w:w="2088" w:type="dxa"/>
            <w:shd w:val="clear" w:color="auto" w:fill="CCFFFF"/>
            <w:vAlign w:val="center"/>
          </w:tcPr>
          <w:p w:rsidR="00163A6F" w:rsidRPr="00AE6831" w:rsidRDefault="00163A6F" w:rsidP="0070176D">
            <w:pPr>
              <w:rPr>
                <w:b/>
                <w:sz w:val="22"/>
                <w:szCs w:val="22"/>
              </w:rPr>
            </w:pPr>
            <w:r w:rsidRPr="00AE6831">
              <w:rPr>
                <w:b/>
                <w:sz w:val="22"/>
                <w:szCs w:val="22"/>
              </w:rPr>
              <w:t>RACE*</w:t>
            </w:r>
          </w:p>
        </w:tc>
        <w:tc>
          <w:tcPr>
            <w:tcW w:w="2222" w:type="dxa"/>
            <w:shd w:val="clear" w:color="auto" w:fill="CCFFFF"/>
            <w:vAlign w:val="center"/>
          </w:tcPr>
          <w:p w:rsidR="00163A6F" w:rsidRDefault="00163A6F" w:rsidP="00B55E10">
            <w:pPr>
              <w:rPr>
                <w:sz w:val="22"/>
              </w:rPr>
            </w:pPr>
            <w:r>
              <w:rPr>
                <w:sz w:val="22"/>
              </w:rPr>
              <w:t>White</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449"/>
        </w:trPr>
        <w:tc>
          <w:tcPr>
            <w:tcW w:w="2088" w:type="dxa"/>
            <w:vMerge w:val="restart"/>
            <w:shd w:val="clear" w:color="auto" w:fill="CCFFFF"/>
          </w:tcPr>
          <w:p w:rsidR="00163A6F" w:rsidRDefault="00163A6F" w:rsidP="00781F6A">
            <w:pPr>
              <w:rPr>
                <w:i/>
                <w:sz w:val="20"/>
              </w:rPr>
            </w:pPr>
            <w:r w:rsidRPr="00B55E10">
              <w:rPr>
                <w:i/>
                <w:sz w:val="20"/>
              </w:rPr>
              <w:t xml:space="preserve">Further information on the breakdown below each of these headings, as per census, is available </w:t>
            </w:r>
            <w:hyperlink r:id="rId16" w:history="1">
              <w:r w:rsidRPr="00B55E10">
                <w:rPr>
                  <w:rStyle w:val="Hyperlink"/>
                  <w:i/>
                  <w:sz w:val="20"/>
                </w:rPr>
                <w:t>here.</w:t>
              </w:r>
            </w:hyperlink>
          </w:p>
          <w:p w:rsidR="00163A6F" w:rsidRDefault="00163A6F" w:rsidP="00781F6A">
            <w:pPr>
              <w:rPr>
                <w:i/>
                <w:sz w:val="20"/>
              </w:rPr>
            </w:pPr>
          </w:p>
          <w:p w:rsidR="00163A6F" w:rsidRPr="00FC051D" w:rsidRDefault="00163A6F" w:rsidP="00781F6A">
            <w:pPr>
              <w:rPr>
                <w:b/>
                <w:i/>
                <w:sz w:val="20"/>
              </w:rPr>
            </w:pPr>
            <w:r w:rsidRPr="00FC051D">
              <w:rPr>
                <w:i/>
                <w:sz w:val="20"/>
              </w:rPr>
              <w:t>For example Asian includes Chinese, Pakistani and Indian etc</w:t>
            </w:r>
          </w:p>
        </w:tc>
        <w:tc>
          <w:tcPr>
            <w:tcW w:w="2222" w:type="dxa"/>
            <w:shd w:val="clear" w:color="auto" w:fill="CCFFFF"/>
            <w:vAlign w:val="center"/>
          </w:tcPr>
          <w:p w:rsidR="00163A6F" w:rsidRDefault="00163A6F" w:rsidP="00B55E10">
            <w:pPr>
              <w:rPr>
                <w:sz w:val="22"/>
              </w:rPr>
            </w:pPr>
            <w:r>
              <w:rPr>
                <w:sz w:val="22"/>
              </w:rPr>
              <w:t>Mixed or Multiple Ethnic Groups</w:t>
            </w:r>
          </w:p>
        </w:tc>
        <w:tc>
          <w:tcPr>
            <w:tcW w:w="2602" w:type="dxa"/>
          </w:tcPr>
          <w:p w:rsidR="0025709A" w:rsidRDefault="0025709A" w:rsidP="001C56EF">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25709A" w:rsidP="00183BFB">
            <w:pPr>
              <w:rPr>
                <w:sz w:val="22"/>
              </w:rPr>
            </w:pPr>
            <w:r w:rsidRPr="0025709A">
              <w:rPr>
                <w:sz w:val="22"/>
              </w:rPr>
              <w:t>Some migrant communities will have</w:t>
            </w:r>
            <w:r w:rsidR="00183BFB">
              <w:rPr>
                <w:sz w:val="22"/>
              </w:rPr>
              <w:t xml:space="preserve"> </w:t>
            </w:r>
            <w:r w:rsidRPr="0025709A">
              <w:rPr>
                <w:sz w:val="22"/>
              </w:rPr>
              <w:t>direct experience of the disruption</w:t>
            </w:r>
            <w:r w:rsidR="00183BFB">
              <w:rPr>
                <w:sz w:val="22"/>
              </w:rPr>
              <w:t xml:space="preserve"> </w:t>
            </w:r>
            <w:r w:rsidRPr="0025709A">
              <w:rPr>
                <w:sz w:val="22"/>
              </w:rPr>
              <w:t>caused by climate change in their</w:t>
            </w:r>
            <w:r w:rsidR="00183BFB">
              <w:rPr>
                <w:sz w:val="22"/>
              </w:rPr>
              <w:t xml:space="preserve"> </w:t>
            </w:r>
            <w:r w:rsidRPr="0025709A">
              <w:rPr>
                <w:sz w:val="22"/>
              </w:rPr>
              <w:t>former places of national origin.</w:t>
            </w:r>
          </w:p>
        </w:tc>
      </w:tr>
      <w:tr w:rsidR="00163A6F" w:rsidTr="00183BFB">
        <w:tblPrEx>
          <w:tblCellMar>
            <w:top w:w="0" w:type="dxa"/>
            <w:bottom w:w="0" w:type="dxa"/>
          </w:tblCellMar>
        </w:tblPrEx>
        <w:trPr>
          <w:trHeight w:val="499"/>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FC051D">
            <w:pPr>
              <w:rPr>
                <w:sz w:val="22"/>
              </w:rPr>
            </w:pPr>
            <w:r>
              <w:rPr>
                <w:sz w:val="22"/>
              </w:rPr>
              <w:t>Asian</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48"/>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African</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1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Caribbean or Black </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6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Other Ethnic Group</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874EAF" w:rsidTr="00183BFB">
        <w:tblPrEx>
          <w:tblCellMar>
            <w:top w:w="0" w:type="dxa"/>
            <w:bottom w:w="0" w:type="dxa"/>
          </w:tblCellMar>
        </w:tblPrEx>
        <w:trPr>
          <w:trHeight w:val="54"/>
        </w:trPr>
        <w:tc>
          <w:tcPr>
            <w:tcW w:w="14596" w:type="dxa"/>
            <w:gridSpan w:val="5"/>
            <w:shd w:val="clear" w:color="auto" w:fill="auto"/>
          </w:tcPr>
          <w:p w:rsidR="00874EAF" w:rsidRPr="00CD7794" w:rsidRDefault="00874EAF" w:rsidP="00874EAF">
            <w:pPr>
              <w:rPr>
                <w:sz w:val="18"/>
                <w:szCs w:val="18"/>
              </w:rPr>
            </w:pPr>
          </w:p>
        </w:tc>
      </w:tr>
      <w:tr w:rsidR="00163A6F" w:rsidTr="00183BFB">
        <w:tblPrEx>
          <w:tblCellMar>
            <w:top w:w="0" w:type="dxa"/>
            <w:bottom w:w="0" w:type="dxa"/>
          </w:tblCellMar>
        </w:tblPrEx>
        <w:trPr>
          <w:trHeight w:val="464"/>
        </w:trPr>
        <w:tc>
          <w:tcPr>
            <w:tcW w:w="2088" w:type="dxa"/>
            <w:shd w:val="clear" w:color="auto" w:fill="CCFFFF"/>
            <w:vAlign w:val="center"/>
          </w:tcPr>
          <w:p w:rsidR="00163A6F" w:rsidRPr="00534BCA" w:rsidRDefault="00163A6F" w:rsidP="0070176D">
            <w:pPr>
              <w:rPr>
                <w:b/>
                <w:sz w:val="22"/>
              </w:rPr>
            </w:pPr>
            <w:r w:rsidRPr="00534BCA">
              <w:rPr>
                <w:b/>
                <w:sz w:val="22"/>
              </w:rPr>
              <w:t>DISABILITY</w:t>
            </w:r>
          </w:p>
        </w:tc>
        <w:tc>
          <w:tcPr>
            <w:tcW w:w="2222" w:type="dxa"/>
            <w:shd w:val="clear" w:color="auto" w:fill="CCFFFF"/>
            <w:vAlign w:val="center"/>
          </w:tcPr>
          <w:p w:rsidR="00163A6F" w:rsidRDefault="00163A6F" w:rsidP="00B55E10">
            <w:pPr>
              <w:rPr>
                <w:sz w:val="22"/>
              </w:rPr>
            </w:pPr>
            <w:r>
              <w:rPr>
                <w:sz w:val="22"/>
              </w:rPr>
              <w:t>Physical disability</w:t>
            </w:r>
          </w:p>
        </w:tc>
        <w:tc>
          <w:tcPr>
            <w:tcW w:w="2602" w:type="dxa"/>
          </w:tcPr>
          <w:p w:rsidR="00163A6F" w:rsidRDefault="0025709A" w:rsidP="0025709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c>
          <w:tcPr>
            <w:tcW w:w="2088" w:type="dxa"/>
            <w:vMerge w:val="restart"/>
            <w:shd w:val="clear" w:color="auto" w:fill="CCFFFF"/>
          </w:tcPr>
          <w:p w:rsidR="00163A6F" w:rsidRPr="0070176D" w:rsidRDefault="00163A6F" w:rsidP="00781F6A">
            <w:pPr>
              <w:rPr>
                <w:i/>
                <w:sz w:val="20"/>
              </w:rPr>
            </w:pPr>
            <w:r w:rsidRPr="0070176D">
              <w:rPr>
                <w:i/>
                <w:sz w:val="20"/>
              </w:rPr>
              <w:t xml:space="preserve">A definition of disability under the Equality Act 2010 is available </w:t>
            </w:r>
            <w:hyperlink r:id="rId17" w:history="1">
              <w:r w:rsidRPr="0070176D">
                <w:rPr>
                  <w:rStyle w:val="Hyperlink"/>
                  <w:i/>
                  <w:sz w:val="20"/>
                </w:rPr>
                <w:t>here.</w:t>
              </w:r>
            </w:hyperlink>
          </w:p>
        </w:tc>
        <w:tc>
          <w:tcPr>
            <w:tcW w:w="2222" w:type="dxa"/>
            <w:shd w:val="clear" w:color="auto" w:fill="CCFFFF"/>
          </w:tcPr>
          <w:p w:rsidR="00163A6F" w:rsidRDefault="00163A6F" w:rsidP="00183BFB">
            <w:pPr>
              <w:rPr>
                <w:sz w:val="22"/>
              </w:rPr>
            </w:pPr>
            <w:r>
              <w:rPr>
                <w:sz w:val="22"/>
              </w:rPr>
              <w:t>Sensory Impairment</w:t>
            </w:r>
            <w:r w:rsidR="00183BFB">
              <w:rPr>
                <w:sz w:val="22"/>
              </w:rPr>
              <w:t xml:space="preserve"> </w:t>
            </w:r>
            <w:r>
              <w:rPr>
                <w:sz w:val="22"/>
              </w:rPr>
              <w:t>(sight, hearing, )</w:t>
            </w:r>
          </w:p>
        </w:tc>
        <w:tc>
          <w:tcPr>
            <w:tcW w:w="2602" w:type="dxa"/>
          </w:tcPr>
          <w:p w:rsidR="00163A6F" w:rsidRDefault="0025709A" w:rsidP="001C56EF">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42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Mental Health </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25709A" w:rsidP="00183BFB">
            <w:pPr>
              <w:rPr>
                <w:sz w:val="22"/>
              </w:rPr>
            </w:pPr>
            <w:r w:rsidRPr="0025709A">
              <w:rPr>
                <w:sz w:val="22"/>
              </w:rPr>
              <w:t>There is a growing body of work to</w:t>
            </w:r>
            <w:r w:rsidR="00183BFB">
              <w:rPr>
                <w:sz w:val="22"/>
              </w:rPr>
              <w:t xml:space="preserve"> </w:t>
            </w:r>
            <w:r w:rsidRPr="0025709A">
              <w:rPr>
                <w:sz w:val="22"/>
              </w:rPr>
              <w:t xml:space="preserve">show that the effects of </w:t>
            </w:r>
            <w:r>
              <w:rPr>
                <w:sz w:val="22"/>
              </w:rPr>
              <w:t xml:space="preserve">ecological/ </w:t>
            </w:r>
            <w:r w:rsidRPr="0025709A">
              <w:rPr>
                <w:sz w:val="22"/>
              </w:rPr>
              <w:t>climate change</w:t>
            </w:r>
            <w:r>
              <w:rPr>
                <w:sz w:val="22"/>
              </w:rPr>
              <w:t xml:space="preserve"> </w:t>
            </w:r>
            <w:r w:rsidRPr="0025709A">
              <w:rPr>
                <w:sz w:val="22"/>
              </w:rPr>
              <w:t>can adversely affect mental health as</w:t>
            </w:r>
            <w:r>
              <w:rPr>
                <w:sz w:val="22"/>
              </w:rPr>
              <w:t xml:space="preserve"> </w:t>
            </w:r>
            <w:r w:rsidRPr="0025709A">
              <w:rPr>
                <w:sz w:val="22"/>
              </w:rPr>
              <w:t>well as presenting additional challenges</w:t>
            </w:r>
            <w:r>
              <w:rPr>
                <w:sz w:val="22"/>
              </w:rPr>
              <w:t xml:space="preserve"> </w:t>
            </w:r>
            <w:r w:rsidRPr="0025709A">
              <w:rPr>
                <w:sz w:val="22"/>
              </w:rPr>
              <w:t>for people with prior poor mental health.</w:t>
            </w:r>
          </w:p>
        </w:tc>
      </w:tr>
      <w:tr w:rsidR="00163A6F" w:rsidTr="00183BFB">
        <w:tblPrEx>
          <w:tblCellMar>
            <w:top w:w="0" w:type="dxa"/>
            <w:bottom w:w="0" w:type="dxa"/>
          </w:tblCellMar>
        </w:tblPrEx>
        <w:trPr>
          <w:trHeight w:val="557"/>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Learning Disability</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452"/>
        </w:trPr>
        <w:tc>
          <w:tcPr>
            <w:tcW w:w="2088" w:type="dxa"/>
            <w:shd w:val="clear" w:color="auto" w:fill="CCFFFF"/>
            <w:vAlign w:val="center"/>
          </w:tcPr>
          <w:p w:rsidR="00163A6F" w:rsidRPr="00534BCA" w:rsidRDefault="00163A6F" w:rsidP="0070176D">
            <w:pPr>
              <w:rPr>
                <w:b/>
                <w:sz w:val="22"/>
              </w:rPr>
            </w:pPr>
            <w:r w:rsidRPr="00534BCA">
              <w:rPr>
                <w:b/>
                <w:sz w:val="22"/>
              </w:rPr>
              <w:t>LGBT</w:t>
            </w: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02"/>
        </w:trPr>
        <w:tc>
          <w:tcPr>
            <w:tcW w:w="2088" w:type="dxa"/>
            <w:shd w:val="clear" w:color="auto" w:fill="CCFFFF"/>
            <w:vAlign w:val="center"/>
          </w:tcPr>
          <w:p w:rsidR="00163A6F" w:rsidRPr="00534BCA" w:rsidRDefault="00163A6F" w:rsidP="0070176D">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51"/>
        </w:trPr>
        <w:tc>
          <w:tcPr>
            <w:tcW w:w="2088" w:type="dxa"/>
            <w:shd w:val="clear" w:color="auto" w:fill="CCFFFF"/>
            <w:vAlign w:val="center"/>
          </w:tcPr>
          <w:p w:rsidR="00163A6F" w:rsidRPr="00534BCA" w:rsidRDefault="00163A6F" w:rsidP="0070176D">
            <w:pPr>
              <w:rPr>
                <w:b/>
                <w:sz w:val="22"/>
              </w:rPr>
            </w:pPr>
          </w:p>
        </w:tc>
        <w:tc>
          <w:tcPr>
            <w:tcW w:w="2222" w:type="dxa"/>
            <w:shd w:val="clear" w:color="auto" w:fill="CCFFFF"/>
            <w:vAlign w:val="center"/>
          </w:tcPr>
          <w:p w:rsidR="00163A6F" w:rsidRDefault="00163A6F" w:rsidP="00B55E10">
            <w:pPr>
              <w:rPr>
                <w:sz w:val="22"/>
              </w:rPr>
            </w:pPr>
            <w:r>
              <w:rPr>
                <w:sz w:val="22"/>
              </w:rPr>
              <w:t>Bisexual</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874EAF" w:rsidTr="00183BFB">
        <w:tblPrEx>
          <w:tblCellMar>
            <w:top w:w="0" w:type="dxa"/>
            <w:bottom w:w="0" w:type="dxa"/>
          </w:tblCellMar>
        </w:tblPrEx>
        <w:tc>
          <w:tcPr>
            <w:tcW w:w="14596" w:type="dxa"/>
            <w:gridSpan w:val="5"/>
            <w:shd w:val="clear" w:color="auto" w:fill="auto"/>
            <w:vAlign w:val="center"/>
          </w:tcPr>
          <w:p w:rsidR="00874EAF" w:rsidRPr="00CD7794" w:rsidRDefault="00874EAF" w:rsidP="0070176D">
            <w:pPr>
              <w:rPr>
                <w:sz w:val="18"/>
                <w:szCs w:val="18"/>
              </w:rPr>
            </w:pPr>
          </w:p>
        </w:tc>
      </w:tr>
      <w:tr w:rsidR="00163A6F" w:rsidTr="00183BFB">
        <w:tblPrEx>
          <w:tblCellMar>
            <w:top w:w="0" w:type="dxa"/>
            <w:bottom w:w="0" w:type="dxa"/>
          </w:tblCellMar>
        </w:tblPrEx>
        <w:trPr>
          <w:trHeight w:val="490"/>
        </w:trPr>
        <w:tc>
          <w:tcPr>
            <w:tcW w:w="2088" w:type="dxa"/>
            <w:shd w:val="clear" w:color="auto" w:fill="CCFFFF"/>
            <w:vAlign w:val="center"/>
          </w:tcPr>
          <w:p w:rsidR="00163A6F" w:rsidRPr="00534BCA" w:rsidRDefault="00163A6F" w:rsidP="0070176D">
            <w:pPr>
              <w:rPr>
                <w:b/>
                <w:sz w:val="22"/>
              </w:rPr>
            </w:pPr>
            <w:r w:rsidRPr="00534BCA">
              <w:rPr>
                <w:b/>
                <w:sz w:val="22"/>
              </w:rPr>
              <w:t>AGE</w:t>
            </w:r>
          </w:p>
        </w:tc>
        <w:tc>
          <w:tcPr>
            <w:tcW w:w="2222" w:type="dxa"/>
            <w:shd w:val="clear" w:color="auto" w:fill="CCFFFF"/>
            <w:vAlign w:val="center"/>
          </w:tcPr>
          <w:p w:rsidR="00163A6F" w:rsidRDefault="00163A6F" w:rsidP="00B55E10">
            <w:pPr>
              <w:rPr>
                <w:sz w:val="22"/>
              </w:rPr>
            </w:pPr>
            <w:r>
              <w:rPr>
                <w:sz w:val="22"/>
              </w:rPr>
              <w:t>Older People (60 +)</w:t>
            </w:r>
          </w:p>
        </w:tc>
        <w:tc>
          <w:tcPr>
            <w:tcW w:w="2602" w:type="dxa"/>
          </w:tcPr>
          <w:p w:rsidR="001C56EF" w:rsidRDefault="0025709A" w:rsidP="001C56EF">
            <w:pPr>
              <w:rPr>
                <w:sz w:val="22"/>
              </w:rPr>
            </w:pPr>
            <w:r>
              <w:rPr>
                <w:sz w:val="22"/>
              </w:rPr>
              <w:t>X</w:t>
            </w:r>
          </w:p>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25709A" w:rsidRPr="0025709A" w:rsidRDefault="0025709A" w:rsidP="0025709A">
            <w:pPr>
              <w:rPr>
                <w:sz w:val="22"/>
              </w:rPr>
            </w:pPr>
            <w:r w:rsidRPr="0025709A">
              <w:rPr>
                <w:sz w:val="22"/>
              </w:rPr>
              <w:t>Projections show that the number of</w:t>
            </w:r>
            <w:r w:rsidR="00183BFB">
              <w:rPr>
                <w:sz w:val="22"/>
              </w:rPr>
              <w:t xml:space="preserve"> </w:t>
            </w:r>
            <w:r w:rsidRPr="0025709A">
              <w:rPr>
                <w:sz w:val="22"/>
              </w:rPr>
              <w:t>older people in Glasgow will continue to</w:t>
            </w:r>
            <w:r w:rsidR="00183BFB">
              <w:rPr>
                <w:sz w:val="22"/>
              </w:rPr>
              <w:t xml:space="preserve"> </w:t>
            </w:r>
            <w:r w:rsidRPr="0025709A">
              <w:rPr>
                <w:sz w:val="22"/>
              </w:rPr>
              <w:t xml:space="preserve">grow over the coming years. </w:t>
            </w:r>
            <w:r>
              <w:rPr>
                <w:sz w:val="22"/>
              </w:rPr>
              <w:t xml:space="preserve">Ecological and </w:t>
            </w:r>
            <w:r w:rsidRPr="0025709A">
              <w:rPr>
                <w:sz w:val="22"/>
              </w:rPr>
              <w:t>Climate</w:t>
            </w:r>
            <w:r>
              <w:rPr>
                <w:sz w:val="22"/>
              </w:rPr>
              <w:t xml:space="preserve"> </w:t>
            </w:r>
            <w:r w:rsidRPr="0025709A">
              <w:rPr>
                <w:sz w:val="22"/>
              </w:rPr>
              <w:t>change will impact as an additional</w:t>
            </w:r>
            <w:r>
              <w:rPr>
                <w:sz w:val="22"/>
              </w:rPr>
              <w:t xml:space="preserve"> </w:t>
            </w:r>
            <w:r w:rsidRPr="0025709A">
              <w:rPr>
                <w:sz w:val="22"/>
              </w:rPr>
              <w:t>stress on older people because of the</w:t>
            </w:r>
            <w:r>
              <w:rPr>
                <w:sz w:val="22"/>
              </w:rPr>
              <w:t xml:space="preserve"> </w:t>
            </w:r>
            <w:r w:rsidRPr="0025709A">
              <w:rPr>
                <w:sz w:val="22"/>
              </w:rPr>
              <w:t>prevalence of social isolation and</w:t>
            </w:r>
            <w:r>
              <w:rPr>
                <w:sz w:val="22"/>
              </w:rPr>
              <w:t xml:space="preserve"> </w:t>
            </w:r>
            <w:r w:rsidRPr="0025709A">
              <w:rPr>
                <w:sz w:val="22"/>
              </w:rPr>
              <w:t>illness or disability in older life.</w:t>
            </w:r>
          </w:p>
          <w:p w:rsidR="00163A6F" w:rsidRDefault="0025709A" w:rsidP="0025709A">
            <w:pPr>
              <w:rPr>
                <w:sz w:val="22"/>
              </w:rPr>
            </w:pPr>
            <w:r w:rsidRPr="0025709A">
              <w:rPr>
                <w:sz w:val="22"/>
              </w:rPr>
              <w:t xml:space="preserve">Extreme heat </w:t>
            </w:r>
            <w:r>
              <w:rPr>
                <w:sz w:val="22"/>
              </w:rPr>
              <w:t xml:space="preserve">or flooding </w:t>
            </w:r>
            <w:r w:rsidRPr="0025709A">
              <w:rPr>
                <w:sz w:val="22"/>
              </w:rPr>
              <w:t>events in particular will</w:t>
            </w:r>
            <w:r>
              <w:rPr>
                <w:sz w:val="22"/>
              </w:rPr>
              <w:t xml:space="preserve"> </w:t>
            </w:r>
            <w:r w:rsidRPr="0025709A">
              <w:rPr>
                <w:sz w:val="22"/>
              </w:rPr>
              <w:t>have adverse impacts on more</w:t>
            </w:r>
            <w:r>
              <w:rPr>
                <w:sz w:val="22"/>
              </w:rPr>
              <w:t xml:space="preserve"> </w:t>
            </w:r>
            <w:r w:rsidRPr="0025709A">
              <w:rPr>
                <w:sz w:val="22"/>
              </w:rPr>
              <w:t>vulnerable members of the community.</w:t>
            </w:r>
          </w:p>
        </w:tc>
      </w:tr>
      <w:tr w:rsidR="00163A6F" w:rsidTr="00183BFB">
        <w:tblPrEx>
          <w:tblCellMar>
            <w:top w:w="0" w:type="dxa"/>
            <w:bottom w:w="0" w:type="dxa"/>
          </w:tblCellMar>
        </w:tblPrEx>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Younger People (16-25)</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9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Children (0-16)</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25709A" w:rsidP="00781F6A">
            <w:pPr>
              <w:rPr>
                <w:sz w:val="22"/>
              </w:rPr>
            </w:pPr>
            <w:r>
              <w:rPr>
                <w:sz w:val="22"/>
              </w:rPr>
              <w:t>Research by New Economics Foundation and Loughborough University has highlighted the positive educational and social impacts for Children where managed woodlands can host Forest Schools.</w:t>
            </w:r>
          </w:p>
        </w:tc>
      </w:tr>
      <w:tr w:rsidR="00874EAF" w:rsidTr="00183BFB">
        <w:tblPrEx>
          <w:tblCellMar>
            <w:top w:w="0" w:type="dxa"/>
            <w:bottom w:w="0" w:type="dxa"/>
          </w:tblCellMar>
        </w:tblPrEx>
        <w:tc>
          <w:tcPr>
            <w:tcW w:w="14596" w:type="dxa"/>
            <w:gridSpan w:val="5"/>
            <w:shd w:val="clear" w:color="auto" w:fill="auto"/>
            <w:vAlign w:val="center"/>
          </w:tcPr>
          <w:p w:rsidR="00874EAF" w:rsidRPr="00CD7794" w:rsidRDefault="00874EAF" w:rsidP="00B55E10">
            <w:pPr>
              <w:rPr>
                <w:sz w:val="18"/>
                <w:szCs w:val="18"/>
              </w:rPr>
            </w:pPr>
          </w:p>
        </w:tc>
      </w:tr>
      <w:tr w:rsidR="00163A6F" w:rsidTr="00183BFB">
        <w:tblPrEx>
          <w:tblCellMar>
            <w:top w:w="0" w:type="dxa"/>
            <w:bottom w:w="0" w:type="dxa"/>
          </w:tblCellMar>
        </w:tblPrEx>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 xml:space="preserve">MARRIAGE </w:t>
            </w:r>
          </w:p>
          <w:p w:rsidR="00163A6F" w:rsidRPr="00534BCA" w:rsidRDefault="00163A6F" w:rsidP="00781F6A">
            <w:pPr>
              <w:rPr>
                <w:rFonts w:cs="Arial"/>
                <w:b/>
                <w:szCs w:val="24"/>
              </w:rPr>
            </w:pPr>
            <w:r w:rsidRPr="0070176D">
              <w:rPr>
                <w:rFonts w:cs="Arial"/>
                <w:b/>
                <w:sz w:val="22"/>
                <w:szCs w:val="22"/>
              </w:rPr>
              <w:t>&amp; CIVIL PARTNERSHIP</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43"/>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93"/>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163A6F" w:rsidTr="00183BFB">
        <w:tblPrEx>
          <w:tblCellMar>
            <w:top w:w="0" w:type="dxa"/>
            <w:bottom w:w="0" w:type="dxa"/>
          </w:tblCellMar>
        </w:tblPrEx>
        <w:trPr>
          <w:trHeight w:val="50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163A6F" w:rsidP="00781F6A">
            <w:pPr>
              <w:rPr>
                <w:sz w:val="22"/>
              </w:rPr>
            </w:pPr>
          </w:p>
        </w:tc>
      </w:tr>
      <w:tr w:rsidR="00874EAF" w:rsidTr="00183BFB">
        <w:tblPrEx>
          <w:tblCellMar>
            <w:top w:w="0" w:type="dxa"/>
            <w:bottom w:w="0" w:type="dxa"/>
          </w:tblCellMar>
        </w:tblPrEx>
        <w:trPr>
          <w:trHeight w:val="70"/>
        </w:trPr>
        <w:tc>
          <w:tcPr>
            <w:tcW w:w="14596" w:type="dxa"/>
            <w:gridSpan w:val="5"/>
            <w:shd w:val="clear" w:color="auto" w:fill="auto"/>
            <w:vAlign w:val="center"/>
          </w:tcPr>
          <w:p w:rsidR="00874EAF" w:rsidRPr="00CD7794" w:rsidRDefault="00874EAF" w:rsidP="00B55E10">
            <w:pPr>
              <w:rPr>
                <w:sz w:val="18"/>
                <w:szCs w:val="18"/>
              </w:rPr>
            </w:pPr>
          </w:p>
        </w:tc>
      </w:tr>
      <w:tr w:rsidR="00163A6F" w:rsidTr="00183BFB">
        <w:tblPrEx>
          <w:tblCellMar>
            <w:top w:w="0" w:type="dxa"/>
            <w:bottom w:w="0" w:type="dxa"/>
          </w:tblCellMar>
        </w:tblPrEx>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PREGNANCY &amp; MATERNITY</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25709A" w:rsidP="0025709A">
            <w:pPr>
              <w:rPr>
                <w:sz w:val="22"/>
              </w:rPr>
            </w:pPr>
            <w:r>
              <w:rPr>
                <w:sz w:val="22"/>
              </w:rPr>
              <w:t>Research shows that the availability of locations, within managed woodlands, where Forest Kindergartens can be sited, can play a role in increasing the availability of places in early years education and childcare, which can have a positive effect on parents, including women who have experienced pregnancy and maternity.</w:t>
            </w:r>
          </w:p>
        </w:tc>
      </w:tr>
      <w:tr w:rsidR="00163A6F" w:rsidRPr="00CD7794" w:rsidTr="00183BFB">
        <w:tblPrEx>
          <w:tblCellMar>
            <w:top w:w="0" w:type="dxa"/>
            <w:bottom w:w="0" w:type="dxa"/>
          </w:tblCellMar>
        </w:tblPrEx>
        <w:trPr>
          <w:trHeight w:val="70"/>
        </w:trPr>
        <w:tc>
          <w:tcPr>
            <w:tcW w:w="14596" w:type="dxa"/>
            <w:gridSpan w:val="5"/>
            <w:shd w:val="clear" w:color="auto" w:fill="auto"/>
            <w:vAlign w:val="center"/>
          </w:tcPr>
          <w:p w:rsidR="00163A6F" w:rsidRPr="00CD7794" w:rsidRDefault="00163A6F" w:rsidP="00163A6F">
            <w:pPr>
              <w:rPr>
                <w:sz w:val="18"/>
                <w:szCs w:val="18"/>
              </w:rPr>
            </w:pPr>
          </w:p>
        </w:tc>
      </w:tr>
      <w:tr w:rsidR="00163A6F" w:rsidTr="00183BFB">
        <w:tblPrEx>
          <w:tblCellMar>
            <w:top w:w="0" w:type="dxa"/>
            <w:bottom w:w="0" w:type="dxa"/>
          </w:tblCellMar>
        </w:tblPrEx>
        <w:tc>
          <w:tcPr>
            <w:tcW w:w="2088" w:type="dxa"/>
            <w:shd w:val="clear" w:color="auto" w:fill="CCFFFF"/>
          </w:tcPr>
          <w:p w:rsidR="00163A6F" w:rsidRDefault="00163A6F" w:rsidP="00781F6A">
            <w:pPr>
              <w:rPr>
                <w:sz w:val="22"/>
              </w:rPr>
            </w:pPr>
            <w:r w:rsidRPr="00534BCA">
              <w:rPr>
                <w:b/>
                <w:sz w:val="22"/>
              </w:rPr>
              <w:t>RELIGION &amp; BELIEF</w:t>
            </w:r>
            <w:r>
              <w:rPr>
                <w:sz w:val="22"/>
              </w:rPr>
              <w:t>**</w:t>
            </w:r>
          </w:p>
          <w:p w:rsidR="00163A6F" w:rsidRPr="00CD7794" w:rsidRDefault="00163A6F" w:rsidP="00781F6A">
            <w:pPr>
              <w:rPr>
                <w:b/>
                <w:sz w:val="20"/>
              </w:rPr>
            </w:pPr>
            <w:r w:rsidRPr="00CD7794">
              <w:rPr>
                <w:sz w:val="20"/>
              </w:rPr>
              <w:t xml:space="preserve">A list of religions used in the census is available </w:t>
            </w:r>
            <w:hyperlink r:id="rId18" w:history="1">
              <w:r w:rsidRPr="00CD7794">
                <w:rPr>
                  <w:rStyle w:val="Hyperlink"/>
                  <w:sz w:val="20"/>
                </w:rPr>
                <w:t>here.</w:t>
              </w:r>
            </w:hyperlink>
          </w:p>
        </w:tc>
        <w:tc>
          <w:tcPr>
            <w:tcW w:w="2222" w:type="dxa"/>
            <w:shd w:val="clear" w:color="auto" w:fill="CCFFFF"/>
            <w:vAlign w:val="center"/>
          </w:tcPr>
          <w:p w:rsidR="00163A6F" w:rsidRDefault="00163A6F" w:rsidP="00B55E10">
            <w:pPr>
              <w:rPr>
                <w:sz w:val="22"/>
              </w:rPr>
            </w:pPr>
            <w:r>
              <w:rPr>
                <w:sz w:val="22"/>
              </w:rPr>
              <w:t>See note</w:t>
            </w:r>
          </w:p>
        </w:tc>
        <w:tc>
          <w:tcPr>
            <w:tcW w:w="2602" w:type="dxa"/>
          </w:tcPr>
          <w:p w:rsidR="00163A6F" w:rsidRDefault="0025709A" w:rsidP="00781F6A">
            <w:pPr>
              <w:rPr>
                <w:sz w:val="22"/>
              </w:rPr>
            </w:pPr>
            <w:r>
              <w:rPr>
                <w:sz w:val="22"/>
              </w:rPr>
              <w:t>X</w:t>
            </w:r>
          </w:p>
        </w:tc>
        <w:tc>
          <w:tcPr>
            <w:tcW w:w="2864" w:type="dxa"/>
          </w:tcPr>
          <w:p w:rsidR="00163A6F" w:rsidRDefault="00163A6F" w:rsidP="00781F6A">
            <w:pPr>
              <w:rPr>
                <w:sz w:val="22"/>
              </w:rPr>
            </w:pPr>
          </w:p>
        </w:tc>
        <w:tc>
          <w:tcPr>
            <w:tcW w:w="4820" w:type="dxa"/>
            <w:shd w:val="clear" w:color="auto" w:fill="FFCC99"/>
          </w:tcPr>
          <w:p w:rsidR="00163A6F" w:rsidRDefault="0025709A" w:rsidP="00183BFB">
            <w:pPr>
              <w:rPr>
                <w:sz w:val="22"/>
              </w:rPr>
            </w:pPr>
            <w:r w:rsidRPr="0025709A">
              <w:rPr>
                <w:sz w:val="22"/>
              </w:rPr>
              <w:t>Faith groups have been at the forefront</w:t>
            </w:r>
            <w:r w:rsidR="00183BFB">
              <w:rPr>
                <w:sz w:val="22"/>
              </w:rPr>
              <w:t xml:space="preserve"> </w:t>
            </w:r>
            <w:r w:rsidRPr="0025709A">
              <w:rPr>
                <w:sz w:val="22"/>
              </w:rPr>
              <w:t xml:space="preserve">of campaigns for </w:t>
            </w:r>
            <w:r>
              <w:rPr>
                <w:sz w:val="22"/>
              </w:rPr>
              <w:t>ecological/</w:t>
            </w:r>
            <w:r w:rsidRPr="0025709A">
              <w:rPr>
                <w:sz w:val="22"/>
              </w:rPr>
              <w:t>climate justice and for</w:t>
            </w:r>
            <w:r>
              <w:rPr>
                <w:sz w:val="22"/>
              </w:rPr>
              <w:t xml:space="preserve"> </w:t>
            </w:r>
            <w:r w:rsidRPr="0025709A">
              <w:rPr>
                <w:sz w:val="22"/>
              </w:rPr>
              <w:t>a transformation of human relationships</w:t>
            </w:r>
            <w:r>
              <w:rPr>
                <w:sz w:val="22"/>
              </w:rPr>
              <w:t xml:space="preserve"> </w:t>
            </w:r>
            <w:r w:rsidRPr="0025709A">
              <w:rPr>
                <w:sz w:val="22"/>
              </w:rPr>
              <w:t>with the natural environment.</w:t>
            </w:r>
          </w:p>
        </w:tc>
      </w:tr>
    </w:tbl>
    <w:p w:rsidR="00B04CFA" w:rsidRDefault="00B04CFA" w:rsidP="00711922">
      <w:pPr>
        <w:ind w:left="284"/>
        <w:rPr>
          <w:sz w:val="18"/>
          <w:szCs w:val="18"/>
        </w:rPr>
      </w:pPr>
    </w:p>
    <w:p w:rsidR="00AE6831" w:rsidRDefault="00781F6A" w:rsidP="002101EA">
      <w:pPr>
        <w:ind w:firstLine="360"/>
        <w:rPr>
          <w:sz w:val="18"/>
          <w:szCs w:val="18"/>
        </w:rPr>
      </w:pPr>
      <w:r>
        <w:rPr>
          <w:sz w:val="18"/>
          <w:szCs w:val="18"/>
        </w:rPr>
        <w:t xml:space="preserve">* </w:t>
      </w:r>
      <w:r w:rsidR="00AE6831">
        <w:rPr>
          <w:sz w:val="18"/>
          <w:szCs w:val="18"/>
        </w:rPr>
        <w:t>For reasons of brevity race is not an exhaustive list, and therefore please feel free to augment the list above where appropriate; to reflect the complexity of other racial identities.</w:t>
      </w:r>
    </w:p>
    <w:p w:rsidR="00CD7794" w:rsidRDefault="00CD7794" w:rsidP="00405005">
      <w:pPr>
        <w:ind w:left="360"/>
        <w:rPr>
          <w:sz w:val="18"/>
          <w:szCs w:val="18"/>
        </w:rPr>
      </w:pPr>
    </w:p>
    <w:p w:rsidR="00183BFB" w:rsidRDefault="00AE6831" w:rsidP="002101EA">
      <w:pPr>
        <w:ind w:left="360"/>
        <w:rPr>
          <w:sz w:val="18"/>
          <w:szCs w:val="18"/>
        </w:r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w:t>
      </w:r>
      <w:r w:rsidR="00405005">
        <w:rPr>
          <w:sz w:val="18"/>
          <w:szCs w:val="18"/>
        </w:rPr>
        <w:t>ing positive or negative impacts</w:t>
      </w:r>
      <w:r w:rsidR="0070176D">
        <w:rPr>
          <w:sz w:val="18"/>
          <w:szCs w:val="18"/>
        </w:rPr>
        <w:t xml:space="preserve">. </w:t>
      </w:r>
      <w:r w:rsidR="0070176D" w:rsidRPr="0070176D">
        <w:rPr>
          <w:sz w:val="18"/>
          <w:szCs w:val="18"/>
        </w:rPr>
        <w:t xml:space="preserve">A list of religions used in the census is available </w:t>
      </w:r>
      <w:hyperlink r:id="rId19" w:history="1">
        <w:r w:rsidR="0070176D" w:rsidRPr="0070176D">
          <w:rPr>
            <w:rStyle w:val="Hyperlink"/>
            <w:sz w:val="18"/>
            <w:szCs w:val="18"/>
          </w:rPr>
          <w:t>here.</w:t>
        </w:r>
      </w:hyperlink>
    </w:p>
    <w:p w:rsidR="00183BFB" w:rsidRDefault="00183BFB">
      <w:pPr>
        <w:rPr>
          <w:sz w:val="18"/>
          <w:szCs w:val="18"/>
        </w:rPr>
      </w:pPr>
      <w:r>
        <w:rPr>
          <w:sz w:val="18"/>
          <w:szCs w:val="18"/>
        </w:rPr>
        <w:br w:type="page"/>
      </w:r>
    </w:p>
    <w:p w:rsidR="00163A6F" w:rsidRPr="00711922" w:rsidRDefault="00711922" w:rsidP="00A03855">
      <w:pPr>
        <w:ind w:left="426"/>
        <w:rPr>
          <w:sz w:val="32"/>
          <w:szCs w:val="32"/>
        </w:rPr>
      </w:pPr>
      <w:r w:rsidRPr="00711922">
        <w:rPr>
          <w:sz w:val="32"/>
          <w:szCs w:val="32"/>
        </w:rPr>
        <w:t xml:space="preserve">Summary of </w:t>
      </w:r>
      <w:r w:rsidR="00981B6F">
        <w:rPr>
          <w:sz w:val="32"/>
          <w:szCs w:val="32"/>
        </w:rPr>
        <w:t>Protected Characteristics Most I</w:t>
      </w:r>
      <w:r w:rsidRPr="00711922">
        <w:rPr>
          <w:sz w:val="32"/>
          <w:szCs w:val="32"/>
        </w:rPr>
        <w:t>mpacted</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163A6F" w:rsidRPr="00CD7794" w:rsidTr="00183BFB">
        <w:tblPrEx>
          <w:tblCellMar>
            <w:top w:w="0" w:type="dxa"/>
            <w:bottom w:w="0" w:type="dxa"/>
          </w:tblCellMar>
        </w:tblPrEx>
        <w:trPr>
          <w:trHeight w:val="70"/>
        </w:trPr>
        <w:tc>
          <w:tcPr>
            <w:tcW w:w="5000" w:type="pct"/>
            <w:shd w:val="clear" w:color="auto" w:fill="auto"/>
            <w:vAlign w:val="center"/>
          </w:tcPr>
          <w:p w:rsidR="0025709A" w:rsidRPr="0025709A" w:rsidRDefault="0025709A" w:rsidP="005427A5">
            <w:pPr>
              <w:rPr>
                <w:sz w:val="22"/>
                <w:szCs w:val="22"/>
              </w:rPr>
            </w:pPr>
            <w:r w:rsidRPr="0025709A">
              <w:rPr>
                <w:sz w:val="22"/>
                <w:szCs w:val="22"/>
              </w:rPr>
              <w:t>Positive impacts for all groups from action to improve the natural environment and a more sustainable city.</w:t>
            </w:r>
          </w:p>
          <w:p w:rsidR="0025709A" w:rsidRPr="0025709A" w:rsidRDefault="0025709A" w:rsidP="005427A5">
            <w:pPr>
              <w:rPr>
                <w:sz w:val="22"/>
                <w:szCs w:val="22"/>
              </w:rPr>
            </w:pPr>
          </w:p>
          <w:p w:rsidR="00711922" w:rsidRDefault="009D7CCA" w:rsidP="005427A5">
            <w:pPr>
              <w:rPr>
                <w:sz w:val="18"/>
                <w:szCs w:val="18"/>
              </w:rPr>
            </w:pPr>
            <w:r w:rsidRPr="0025709A">
              <w:rPr>
                <w:sz w:val="22"/>
                <w:szCs w:val="22"/>
              </w:rPr>
              <w:t xml:space="preserve">Benefits to all citizens. </w:t>
            </w:r>
            <w:r w:rsidR="002C654F" w:rsidRPr="0025709A">
              <w:rPr>
                <w:sz w:val="22"/>
                <w:szCs w:val="22"/>
              </w:rPr>
              <w:t>The potential benefits</w:t>
            </w:r>
            <w:r w:rsidRPr="0025709A">
              <w:rPr>
                <w:sz w:val="22"/>
                <w:szCs w:val="22"/>
              </w:rPr>
              <w:t xml:space="preserve"> may be greater</w:t>
            </w:r>
            <w:r w:rsidR="002C654F" w:rsidRPr="0025709A">
              <w:rPr>
                <w:sz w:val="22"/>
                <w:szCs w:val="22"/>
              </w:rPr>
              <w:t xml:space="preserve"> to citizens with a mental health disability</w:t>
            </w:r>
            <w:r w:rsidR="00FB4C92" w:rsidRPr="0025709A">
              <w:rPr>
                <w:sz w:val="22"/>
                <w:szCs w:val="22"/>
              </w:rPr>
              <w:t xml:space="preserve"> though increased access to woodlands</w:t>
            </w:r>
            <w:r w:rsidR="002C654F" w:rsidRPr="0025709A">
              <w:rPr>
                <w:sz w:val="22"/>
                <w:szCs w:val="22"/>
              </w:rPr>
              <w:t>, Children and Women who have experienced pregnancy and maternity, through increased availability of suitable locations for Forest Schools and Kindergartens.</w:t>
            </w:r>
          </w:p>
          <w:p w:rsidR="00711922" w:rsidRPr="00CD7794" w:rsidRDefault="00711922" w:rsidP="005427A5">
            <w:pPr>
              <w:rPr>
                <w:sz w:val="18"/>
                <w:szCs w:val="18"/>
              </w:rPr>
            </w:pPr>
          </w:p>
        </w:tc>
      </w:tr>
    </w:tbl>
    <w:p w:rsidR="00163A6F" w:rsidRDefault="00163A6F" w:rsidP="00405005">
      <w:pPr>
        <w:ind w:left="360"/>
        <w:rPr>
          <w:sz w:val="18"/>
          <w:szCs w:val="18"/>
        </w:rPr>
      </w:pPr>
    </w:p>
    <w:p w:rsidR="00163A6F" w:rsidRPr="00711922" w:rsidRDefault="00711922" w:rsidP="00183BFB">
      <w:pPr>
        <w:ind w:left="426"/>
        <w:rPr>
          <w:sz w:val="32"/>
          <w:szCs w:val="32"/>
        </w:rPr>
      </w:pPr>
      <w:r w:rsidRPr="00711922">
        <w:rPr>
          <w:sz w:val="32"/>
          <w:szCs w:val="32"/>
        </w:rPr>
        <w:t xml:space="preserve">Summary of </w:t>
      </w:r>
      <w:r>
        <w:rPr>
          <w:sz w:val="32"/>
          <w:szCs w:val="32"/>
        </w:rPr>
        <w:t>Socio Economic Impacts</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163A6F" w:rsidRPr="00CD7794" w:rsidTr="00183BFB">
        <w:tblPrEx>
          <w:tblCellMar>
            <w:top w:w="0" w:type="dxa"/>
            <w:bottom w:w="0" w:type="dxa"/>
          </w:tblCellMar>
        </w:tblPrEx>
        <w:trPr>
          <w:trHeight w:val="70"/>
        </w:trPr>
        <w:tc>
          <w:tcPr>
            <w:tcW w:w="5000" w:type="pct"/>
            <w:shd w:val="clear" w:color="auto" w:fill="auto"/>
            <w:vAlign w:val="center"/>
          </w:tcPr>
          <w:p w:rsidR="00163A6F" w:rsidRDefault="00163A6F" w:rsidP="005427A5">
            <w:pPr>
              <w:rPr>
                <w:sz w:val="18"/>
                <w:szCs w:val="18"/>
              </w:rPr>
            </w:pPr>
          </w:p>
          <w:p w:rsidR="00711922" w:rsidRDefault="001C56EF" w:rsidP="005427A5">
            <w:pPr>
              <w:rPr>
                <w:sz w:val="18"/>
                <w:szCs w:val="18"/>
              </w:rPr>
            </w:pPr>
            <w:r w:rsidRPr="0025709A">
              <w:rPr>
                <w:sz w:val="22"/>
                <w:szCs w:val="22"/>
              </w:rPr>
              <w:t xml:space="preserve">It is noted that </w:t>
            </w:r>
            <w:r w:rsidR="0012185A" w:rsidRPr="0025709A">
              <w:rPr>
                <w:sz w:val="22"/>
                <w:szCs w:val="22"/>
              </w:rPr>
              <w:t>a number of our major</w:t>
            </w:r>
            <w:r w:rsidR="002C654F" w:rsidRPr="0025709A">
              <w:rPr>
                <w:sz w:val="22"/>
                <w:szCs w:val="22"/>
              </w:rPr>
              <w:t xml:space="preserve"> existing GCC woodlands</w:t>
            </w:r>
            <w:r w:rsidR="00FB4C92" w:rsidRPr="0025709A">
              <w:rPr>
                <w:sz w:val="22"/>
                <w:szCs w:val="22"/>
              </w:rPr>
              <w:t>,</w:t>
            </w:r>
            <w:r w:rsidR="00183BFB">
              <w:rPr>
                <w:sz w:val="22"/>
                <w:szCs w:val="22"/>
              </w:rPr>
              <w:t xml:space="preserve"> parks,</w:t>
            </w:r>
            <w:r w:rsidR="00FB4C92" w:rsidRPr="0025709A">
              <w:rPr>
                <w:sz w:val="22"/>
                <w:szCs w:val="22"/>
              </w:rPr>
              <w:t xml:space="preserve"> grasslands and wetlands</w:t>
            </w:r>
            <w:r w:rsidR="002C654F" w:rsidRPr="0025709A">
              <w:rPr>
                <w:sz w:val="22"/>
                <w:szCs w:val="22"/>
              </w:rPr>
              <w:t xml:space="preserve"> on the </w:t>
            </w:r>
            <w:r w:rsidR="0012185A" w:rsidRPr="0025709A">
              <w:rPr>
                <w:sz w:val="22"/>
                <w:szCs w:val="22"/>
              </w:rPr>
              <w:t xml:space="preserve">boundary of the city are closely adjacent to neighbourhoods mapped as most deprived Decile on SIMD mapping, with potential benefits of improved </w:t>
            </w:r>
            <w:r w:rsidR="00FB4C92" w:rsidRPr="0025709A">
              <w:rPr>
                <w:sz w:val="22"/>
                <w:szCs w:val="22"/>
              </w:rPr>
              <w:t>habitat</w:t>
            </w:r>
            <w:r w:rsidR="0012185A" w:rsidRPr="0025709A">
              <w:rPr>
                <w:sz w:val="22"/>
                <w:szCs w:val="22"/>
              </w:rPr>
              <w:t xml:space="preserve"> management having the potential to disproportionately benefit these communities.</w:t>
            </w:r>
          </w:p>
          <w:p w:rsidR="00711922" w:rsidRPr="00CD7794" w:rsidRDefault="00711922" w:rsidP="005427A5">
            <w:pPr>
              <w:rPr>
                <w:sz w:val="18"/>
                <w:szCs w:val="18"/>
              </w:rPr>
            </w:pPr>
          </w:p>
        </w:tc>
      </w:tr>
    </w:tbl>
    <w:p w:rsidR="00711922" w:rsidRDefault="00711922" w:rsidP="00711922">
      <w:pPr>
        <w:rPr>
          <w:sz w:val="18"/>
          <w:szCs w:val="18"/>
        </w:rPr>
      </w:pPr>
    </w:p>
    <w:p w:rsidR="00A03855" w:rsidRDefault="00711922" w:rsidP="00A03855">
      <w:pPr>
        <w:ind w:left="426"/>
        <w:rPr>
          <w:sz w:val="32"/>
          <w:szCs w:val="32"/>
        </w:rPr>
      </w:pPr>
      <w:r w:rsidRPr="00711922">
        <w:rPr>
          <w:sz w:val="32"/>
          <w:szCs w:val="32"/>
        </w:rPr>
        <w:t xml:space="preserve">Summary of </w:t>
      </w:r>
      <w:r>
        <w:rPr>
          <w:sz w:val="32"/>
          <w:szCs w:val="32"/>
        </w:rPr>
        <w:t>Human Rights Impacts</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711922" w:rsidRPr="00CD7794" w:rsidTr="00183BFB">
        <w:tblPrEx>
          <w:tblCellMar>
            <w:top w:w="0" w:type="dxa"/>
            <w:bottom w:w="0" w:type="dxa"/>
          </w:tblCellMar>
        </w:tblPrEx>
        <w:trPr>
          <w:trHeight w:val="70"/>
        </w:trPr>
        <w:tc>
          <w:tcPr>
            <w:tcW w:w="5000" w:type="pct"/>
            <w:shd w:val="clear" w:color="auto" w:fill="auto"/>
            <w:vAlign w:val="center"/>
          </w:tcPr>
          <w:p w:rsidR="00711922" w:rsidRDefault="00711922" w:rsidP="005427A5">
            <w:pPr>
              <w:rPr>
                <w:sz w:val="18"/>
                <w:szCs w:val="18"/>
              </w:rPr>
            </w:pPr>
          </w:p>
          <w:p w:rsidR="00711922" w:rsidRPr="0025709A" w:rsidRDefault="0025709A" w:rsidP="005427A5">
            <w:pPr>
              <w:rPr>
                <w:sz w:val="22"/>
                <w:szCs w:val="22"/>
              </w:rPr>
            </w:pPr>
            <w:r w:rsidRPr="0025709A">
              <w:rPr>
                <w:sz w:val="22"/>
                <w:szCs w:val="22"/>
              </w:rPr>
              <w:t>Action to improve the environment and to enhance habitats and grow a more sustainable city will improve human rights locally and contribute to</w:t>
            </w:r>
            <w:r w:rsidR="00183BFB">
              <w:rPr>
                <w:sz w:val="22"/>
                <w:szCs w:val="22"/>
              </w:rPr>
              <w:t xml:space="preserve"> </w:t>
            </w:r>
            <w:r w:rsidRPr="0025709A">
              <w:rPr>
                <w:sz w:val="22"/>
                <w:szCs w:val="22"/>
              </w:rPr>
              <w:t>global efforts to protect the universal rights of communities, which are increasingly under threat from ecological deterioration and climate change.</w:t>
            </w:r>
          </w:p>
          <w:p w:rsidR="00711922" w:rsidRPr="00CD7794" w:rsidRDefault="00711922" w:rsidP="005427A5">
            <w:pPr>
              <w:rPr>
                <w:sz w:val="18"/>
                <w:szCs w:val="18"/>
              </w:rPr>
            </w:pPr>
          </w:p>
        </w:tc>
      </w:tr>
    </w:tbl>
    <w:p w:rsidR="00711922" w:rsidRDefault="00711922" w:rsidP="00183BFB">
      <w:pPr>
        <w:rPr>
          <w:sz w:val="18"/>
          <w:szCs w:val="18"/>
        </w:rPr>
      </w:pPr>
    </w:p>
    <w:p w:rsidR="00711922" w:rsidRDefault="00711922" w:rsidP="00405005">
      <w:pPr>
        <w:ind w:left="360"/>
        <w:rPr>
          <w:sz w:val="18"/>
          <w:szCs w:val="18"/>
        </w:rPr>
      </w:pPr>
    </w:p>
    <w:p w:rsidR="00711922" w:rsidRPr="00781F6A" w:rsidRDefault="00711922" w:rsidP="00405005">
      <w:pPr>
        <w:ind w:left="360"/>
        <w:rPr>
          <w:sz w:val="18"/>
          <w:szCs w:val="18"/>
        </w:rPr>
        <w:sectPr w:rsidR="00711922" w:rsidRPr="00781F6A" w:rsidSect="002101EA">
          <w:pgSz w:w="16838" w:h="11906" w:orient="landscape" w:code="9"/>
          <w:pgMar w:top="851" w:right="426" w:bottom="851" w:left="851" w:header="720" w:footer="340" w:gutter="0"/>
          <w:cols w:space="720"/>
          <w:docGrid w:linePitch="326"/>
        </w:sectPr>
      </w:pPr>
    </w:p>
    <w:p w:rsidR="00CE1909" w:rsidRPr="00B04CFA" w:rsidRDefault="007073B2" w:rsidP="005272A9">
      <w:pPr>
        <w:pStyle w:val="Heading1"/>
        <w:numPr>
          <w:ilvl w:val="0"/>
          <w:numId w:val="8"/>
        </w:numPr>
        <w:rPr>
          <w:sz w:val="36"/>
          <w:szCs w:val="36"/>
        </w:rPr>
      </w:pPr>
      <w:r w:rsidRPr="00B04CFA">
        <w:rPr>
          <w:sz w:val="36"/>
          <w:szCs w:val="36"/>
        </w:rPr>
        <w:t xml:space="preserve">OUTCOMES, </w:t>
      </w:r>
      <w:r w:rsidR="00CE1909" w:rsidRPr="00B04CFA">
        <w:rPr>
          <w:sz w:val="36"/>
          <w:szCs w:val="36"/>
        </w:rPr>
        <w:t>ACTION</w:t>
      </w:r>
      <w:r w:rsidRPr="00B04CFA">
        <w:rPr>
          <w:sz w:val="36"/>
          <w:szCs w:val="36"/>
        </w:rPr>
        <w:t xml:space="preserve"> &amp; PUBLIC REPORTING</w:t>
      </w:r>
    </w:p>
    <w:p w:rsidR="00460F93" w:rsidRDefault="00460F93" w:rsidP="00460F93">
      <w:pPr>
        <w:rPr>
          <w:sz w:val="22"/>
        </w:rPr>
      </w:pPr>
    </w:p>
    <w:tbl>
      <w:tblPr>
        <w:tblW w:w="14646"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9"/>
        <w:gridCol w:w="6237"/>
      </w:tblGrid>
      <w:tr w:rsidR="00460F93" w:rsidRPr="00ED47F5" w:rsidTr="00A03855">
        <w:tblPrEx>
          <w:tblCellMar>
            <w:top w:w="0" w:type="dxa"/>
            <w:bottom w:w="0" w:type="dxa"/>
          </w:tblCellMar>
        </w:tblPrEx>
        <w:tc>
          <w:tcPr>
            <w:tcW w:w="8409" w:type="dxa"/>
            <w:tcBorders>
              <w:bottom w:val="single" w:sz="4" w:space="0" w:color="auto"/>
            </w:tcBorders>
            <w:shd w:val="clear" w:color="auto" w:fill="D9D9D9"/>
          </w:tcPr>
          <w:p w:rsidR="00460F93" w:rsidRPr="00A03855" w:rsidRDefault="00460F93" w:rsidP="005427A5">
            <w:pPr>
              <w:rPr>
                <w:sz w:val="12"/>
                <w:szCs w:val="12"/>
              </w:rPr>
            </w:pPr>
          </w:p>
          <w:p w:rsidR="00460F93" w:rsidRPr="002101EA" w:rsidRDefault="00460F93" w:rsidP="002101EA">
            <w:pPr>
              <w:jc w:val="center"/>
              <w:rPr>
                <w:b/>
                <w:sz w:val="36"/>
                <w:szCs w:val="36"/>
              </w:rPr>
            </w:pPr>
            <w:r w:rsidRPr="002101EA">
              <w:rPr>
                <w:b/>
                <w:sz w:val="36"/>
                <w:szCs w:val="36"/>
              </w:rPr>
              <w:t>Screening Outcome</w:t>
            </w:r>
          </w:p>
        </w:tc>
        <w:tc>
          <w:tcPr>
            <w:tcW w:w="6237" w:type="dxa"/>
            <w:shd w:val="clear" w:color="auto" w:fill="D9D9D9"/>
          </w:tcPr>
          <w:p w:rsidR="00460F93" w:rsidRPr="00A03855" w:rsidRDefault="00460F93" w:rsidP="005427A5">
            <w:pPr>
              <w:rPr>
                <w:b/>
                <w:sz w:val="12"/>
                <w:szCs w:val="12"/>
              </w:rPr>
            </w:pPr>
          </w:p>
          <w:p w:rsidR="00460F93" w:rsidRPr="002101EA" w:rsidRDefault="00460F93" w:rsidP="005427A5">
            <w:pPr>
              <w:rPr>
                <w:b/>
                <w:sz w:val="28"/>
                <w:szCs w:val="28"/>
              </w:rPr>
            </w:pPr>
            <w:r w:rsidRPr="002101EA">
              <w:rPr>
                <w:b/>
                <w:sz w:val="28"/>
                <w:szCs w:val="28"/>
              </w:rPr>
              <w:t xml:space="preserve">Yes /No </w:t>
            </w:r>
          </w:p>
          <w:p w:rsidR="00CE4FCB" w:rsidRDefault="00460F93" w:rsidP="005427A5">
            <w:pPr>
              <w:rPr>
                <w:b/>
                <w:sz w:val="28"/>
                <w:szCs w:val="28"/>
              </w:rPr>
            </w:pPr>
            <w:r w:rsidRPr="002101EA">
              <w:rPr>
                <w:b/>
                <w:sz w:val="28"/>
                <w:szCs w:val="28"/>
              </w:rPr>
              <w:t>Or /</w:t>
            </w:r>
          </w:p>
          <w:p w:rsidR="00460F93" w:rsidRPr="002101EA" w:rsidRDefault="00460F93" w:rsidP="005427A5">
            <w:pPr>
              <w:rPr>
                <w:b/>
                <w:sz w:val="28"/>
                <w:szCs w:val="28"/>
              </w:rPr>
            </w:pPr>
            <w:r w:rsidRPr="002101EA">
              <w:rPr>
                <w:b/>
                <w:sz w:val="28"/>
                <w:szCs w:val="28"/>
              </w:rPr>
              <w:t>Not At This Stage</w:t>
            </w:r>
          </w:p>
          <w:p w:rsidR="00460F93" w:rsidRPr="002101EA" w:rsidRDefault="00460F93" w:rsidP="005427A5">
            <w:pPr>
              <w:rPr>
                <w:b/>
                <w:sz w:val="28"/>
                <w:szCs w:val="28"/>
              </w:rPr>
            </w:pPr>
          </w:p>
        </w:tc>
      </w:tr>
      <w:tr w:rsidR="00460F93" w:rsidTr="00A03855">
        <w:tblPrEx>
          <w:tblCellMar>
            <w:top w:w="0" w:type="dxa"/>
            <w:bottom w:w="0" w:type="dxa"/>
          </w:tblCellMar>
        </w:tblPrEx>
        <w:tc>
          <w:tcPr>
            <w:tcW w:w="8409" w:type="dxa"/>
            <w:shd w:val="clear" w:color="auto" w:fill="CCFFFF"/>
          </w:tcPr>
          <w:p w:rsidR="00460F93" w:rsidRPr="002101EA" w:rsidRDefault="00460F93" w:rsidP="005427A5">
            <w:pPr>
              <w:rPr>
                <w:b/>
                <w:sz w:val="22"/>
                <w:szCs w:val="22"/>
              </w:rPr>
            </w:pPr>
            <w:r w:rsidRPr="002101EA">
              <w:rPr>
                <w:b/>
                <w:sz w:val="22"/>
                <w:szCs w:val="22"/>
              </w:rPr>
              <w:t xml:space="preserve">Was a significant level of negative impact arising from the project, policy or </w:t>
            </w:r>
            <w:r w:rsidR="009D7CCA" w:rsidRPr="002101EA">
              <w:rPr>
                <w:b/>
                <w:sz w:val="22"/>
                <w:szCs w:val="22"/>
              </w:rPr>
              <w:t>strategy identified</w:t>
            </w:r>
            <w:r w:rsidRPr="002101EA">
              <w:rPr>
                <w:b/>
                <w:sz w:val="22"/>
                <w:szCs w:val="22"/>
              </w:rPr>
              <w:t>?</w:t>
            </w:r>
          </w:p>
          <w:p w:rsidR="00460F93" w:rsidRPr="002101EA" w:rsidRDefault="00460F93" w:rsidP="005427A5">
            <w:pPr>
              <w:rPr>
                <w:b/>
                <w:sz w:val="22"/>
                <w:szCs w:val="22"/>
              </w:rPr>
            </w:pPr>
          </w:p>
        </w:tc>
        <w:tc>
          <w:tcPr>
            <w:tcW w:w="6237" w:type="dxa"/>
          </w:tcPr>
          <w:p w:rsidR="00460F93" w:rsidRPr="002101EA" w:rsidRDefault="0012185A" w:rsidP="005427A5">
            <w:pPr>
              <w:rPr>
                <w:sz w:val="22"/>
                <w:szCs w:val="22"/>
              </w:rPr>
            </w:pPr>
            <w:r>
              <w:rPr>
                <w:sz w:val="22"/>
                <w:szCs w:val="22"/>
              </w:rPr>
              <w:t>Not at this stage</w:t>
            </w:r>
          </w:p>
        </w:tc>
      </w:tr>
      <w:tr w:rsidR="00460F93" w:rsidTr="00A03855">
        <w:tblPrEx>
          <w:tblCellMar>
            <w:top w:w="0" w:type="dxa"/>
            <w:bottom w:w="0" w:type="dxa"/>
          </w:tblCellMar>
        </w:tblPrEx>
        <w:tc>
          <w:tcPr>
            <w:tcW w:w="8409" w:type="dxa"/>
            <w:tcBorders>
              <w:bottom w:val="single" w:sz="4" w:space="0" w:color="auto"/>
            </w:tcBorders>
            <w:shd w:val="clear" w:color="auto" w:fill="CCFFFF"/>
          </w:tcPr>
          <w:p w:rsidR="00460F93" w:rsidRPr="002101EA" w:rsidRDefault="00460F93" w:rsidP="005427A5">
            <w:pPr>
              <w:rPr>
                <w:b/>
                <w:sz w:val="22"/>
                <w:szCs w:val="22"/>
              </w:rPr>
            </w:pPr>
            <w:r w:rsidRPr="002101EA">
              <w:rPr>
                <w:b/>
                <w:sz w:val="22"/>
                <w:szCs w:val="22"/>
              </w:rPr>
              <w:t>Does the project, policy or strategy require to be amended to have a positive impact?</w:t>
            </w:r>
          </w:p>
          <w:p w:rsidR="00460F93" w:rsidRPr="002101EA" w:rsidRDefault="00460F93" w:rsidP="005427A5">
            <w:pPr>
              <w:rPr>
                <w:b/>
                <w:sz w:val="22"/>
                <w:szCs w:val="22"/>
              </w:rPr>
            </w:pPr>
          </w:p>
        </w:tc>
        <w:tc>
          <w:tcPr>
            <w:tcW w:w="6237" w:type="dxa"/>
            <w:tcBorders>
              <w:bottom w:val="single" w:sz="4" w:space="0" w:color="auto"/>
            </w:tcBorders>
          </w:tcPr>
          <w:p w:rsidR="00460F93" w:rsidRPr="002101EA" w:rsidRDefault="0012185A" w:rsidP="005427A5">
            <w:pPr>
              <w:rPr>
                <w:sz w:val="22"/>
                <w:szCs w:val="22"/>
              </w:rPr>
            </w:pPr>
            <w:r>
              <w:rPr>
                <w:sz w:val="22"/>
                <w:szCs w:val="22"/>
              </w:rPr>
              <w:t>Not at this stage</w:t>
            </w:r>
          </w:p>
        </w:tc>
      </w:tr>
      <w:tr w:rsidR="00460F93" w:rsidTr="00A03855">
        <w:tblPrEx>
          <w:tblCellMar>
            <w:top w:w="0" w:type="dxa"/>
            <w:bottom w:w="0" w:type="dxa"/>
          </w:tblCellMar>
        </w:tblPrEx>
        <w:tc>
          <w:tcPr>
            <w:tcW w:w="8409" w:type="dxa"/>
            <w:tcBorders>
              <w:bottom w:val="single" w:sz="4" w:space="0" w:color="auto"/>
            </w:tcBorders>
            <w:shd w:val="clear" w:color="auto" w:fill="CCFFFF"/>
          </w:tcPr>
          <w:p w:rsidR="00460F93" w:rsidRPr="002101EA" w:rsidRDefault="00460F93" w:rsidP="005427A5">
            <w:pPr>
              <w:rPr>
                <w:b/>
                <w:sz w:val="22"/>
                <w:szCs w:val="22"/>
              </w:rPr>
            </w:pPr>
            <w:r w:rsidRPr="002101EA">
              <w:rPr>
                <w:b/>
                <w:sz w:val="22"/>
                <w:szCs w:val="22"/>
              </w:rPr>
              <w:t>Does a Full Impact Assessment need to be undertaken?</w:t>
            </w:r>
          </w:p>
          <w:p w:rsidR="00460F93" w:rsidRPr="002101EA" w:rsidRDefault="00460F93" w:rsidP="005427A5">
            <w:pPr>
              <w:rPr>
                <w:b/>
                <w:sz w:val="22"/>
                <w:szCs w:val="22"/>
              </w:rPr>
            </w:pPr>
          </w:p>
        </w:tc>
        <w:tc>
          <w:tcPr>
            <w:tcW w:w="6237" w:type="dxa"/>
            <w:tcBorders>
              <w:bottom w:val="single" w:sz="4" w:space="0" w:color="auto"/>
            </w:tcBorders>
          </w:tcPr>
          <w:p w:rsidR="0025709A" w:rsidRPr="002101EA" w:rsidRDefault="0012185A" w:rsidP="00A03855">
            <w:pPr>
              <w:rPr>
                <w:sz w:val="22"/>
                <w:szCs w:val="22"/>
              </w:rPr>
            </w:pPr>
            <w:r>
              <w:rPr>
                <w:sz w:val="22"/>
                <w:szCs w:val="22"/>
              </w:rPr>
              <w:t>Not at this stage</w:t>
            </w:r>
            <w:r w:rsidR="0025709A">
              <w:rPr>
                <w:sz w:val="22"/>
                <w:szCs w:val="22"/>
              </w:rPr>
              <w:t xml:space="preserve"> –</w:t>
            </w:r>
            <w:r w:rsidR="00A03855">
              <w:rPr>
                <w:sz w:val="22"/>
                <w:szCs w:val="22"/>
              </w:rPr>
              <w:t xml:space="preserve"> </w:t>
            </w:r>
            <w:r w:rsidR="0025709A" w:rsidRPr="0025709A">
              <w:rPr>
                <w:sz w:val="22"/>
                <w:szCs w:val="22"/>
              </w:rPr>
              <w:t>specific actions arising</w:t>
            </w:r>
            <w:r w:rsidR="00A03855">
              <w:rPr>
                <w:sz w:val="22"/>
                <w:szCs w:val="22"/>
              </w:rPr>
              <w:t xml:space="preserve"> </w:t>
            </w:r>
            <w:r w:rsidR="0025709A" w:rsidRPr="0025709A">
              <w:rPr>
                <w:sz w:val="22"/>
                <w:szCs w:val="22"/>
              </w:rPr>
              <w:t>from the working group’s</w:t>
            </w:r>
            <w:r w:rsidR="00A03855">
              <w:rPr>
                <w:sz w:val="22"/>
                <w:szCs w:val="22"/>
              </w:rPr>
              <w:t xml:space="preserve"> </w:t>
            </w:r>
            <w:r w:rsidR="0025709A" w:rsidRPr="0025709A">
              <w:rPr>
                <w:sz w:val="22"/>
                <w:szCs w:val="22"/>
              </w:rPr>
              <w:t>recommendations may</w:t>
            </w:r>
            <w:r w:rsidR="00A03855">
              <w:rPr>
                <w:sz w:val="22"/>
                <w:szCs w:val="22"/>
              </w:rPr>
              <w:t xml:space="preserve"> </w:t>
            </w:r>
            <w:r w:rsidR="0025709A" w:rsidRPr="0025709A">
              <w:rPr>
                <w:sz w:val="22"/>
                <w:szCs w:val="22"/>
              </w:rPr>
              <w:t>require full impact</w:t>
            </w:r>
            <w:r w:rsidR="00A03855">
              <w:rPr>
                <w:sz w:val="22"/>
                <w:szCs w:val="22"/>
              </w:rPr>
              <w:t xml:space="preserve"> </w:t>
            </w:r>
            <w:r w:rsidR="0025709A" w:rsidRPr="0025709A">
              <w:rPr>
                <w:sz w:val="22"/>
                <w:szCs w:val="22"/>
              </w:rPr>
              <w:t>assessments.</w:t>
            </w:r>
          </w:p>
        </w:tc>
      </w:tr>
    </w:tbl>
    <w:p w:rsidR="00FE21D3" w:rsidRDefault="00FE21D3" w:rsidP="00A03855">
      <w:pPr>
        <w:rPr>
          <w:sz w:val="18"/>
          <w:szCs w:val="18"/>
        </w:rPr>
      </w:pPr>
    </w:p>
    <w:tbl>
      <w:tblPr>
        <w:tblW w:w="14646"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77"/>
        <w:gridCol w:w="8392"/>
      </w:tblGrid>
      <w:tr w:rsidR="00460F93" w:rsidRPr="00ED47F5" w:rsidTr="00A03855">
        <w:tblPrEx>
          <w:tblCellMar>
            <w:top w:w="0" w:type="dxa"/>
            <w:bottom w:w="0" w:type="dxa"/>
          </w:tblCellMar>
        </w:tblPrEx>
        <w:tc>
          <w:tcPr>
            <w:tcW w:w="14646"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Default="00460F93" w:rsidP="005427A5">
            <w:pPr>
              <w:rPr>
                <w:b/>
                <w:sz w:val="22"/>
              </w:rPr>
            </w:pPr>
          </w:p>
          <w:p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rsidR="00460F93" w:rsidRPr="00460F93" w:rsidRDefault="00460F93" w:rsidP="002101EA">
            <w:pPr>
              <w:jc w:val="center"/>
              <w:rPr>
                <w:sz w:val="16"/>
                <w:szCs w:val="16"/>
              </w:rPr>
            </w:pPr>
          </w:p>
          <w:p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rsidR="00460F93" w:rsidRPr="00460F93" w:rsidRDefault="00460F93" w:rsidP="00460F93">
            <w:pPr>
              <w:ind w:firstLine="360"/>
              <w:rPr>
                <w:sz w:val="18"/>
                <w:szCs w:val="18"/>
              </w:rPr>
            </w:pPr>
          </w:p>
        </w:tc>
      </w:tr>
      <w:tr w:rsidR="00460F93" w:rsidTr="00A03855">
        <w:tblPrEx>
          <w:tblCellMar>
            <w:top w:w="0" w:type="dxa"/>
            <w:bottom w:w="0" w:type="dxa"/>
          </w:tblCellMar>
        </w:tblPrEx>
        <w:tc>
          <w:tcPr>
            <w:tcW w:w="2977" w:type="dxa"/>
            <w:tcBorders>
              <w:bottom w:val="single" w:sz="4" w:space="0" w:color="auto"/>
            </w:tcBorders>
            <w:shd w:val="clear" w:color="auto" w:fill="D9D9D9"/>
          </w:tcPr>
          <w:p w:rsidR="00460F93" w:rsidRDefault="00460F93" w:rsidP="0021793B">
            <w:pPr>
              <w:rPr>
                <w:b/>
                <w:sz w:val="22"/>
              </w:rPr>
            </w:pPr>
          </w:p>
          <w:p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rsidR="00460F93" w:rsidRPr="00ED47F5" w:rsidRDefault="00460F93" w:rsidP="0021793B">
            <w:pPr>
              <w:rPr>
                <w:b/>
                <w:sz w:val="22"/>
              </w:rPr>
            </w:pPr>
          </w:p>
        </w:tc>
        <w:tc>
          <w:tcPr>
            <w:tcW w:w="3277" w:type="dxa"/>
            <w:tcBorders>
              <w:bottom w:val="single" w:sz="4" w:space="0" w:color="auto"/>
            </w:tcBorders>
            <w:shd w:val="clear" w:color="auto" w:fill="D9D9D9"/>
          </w:tcPr>
          <w:p w:rsidR="00460F93" w:rsidRDefault="00460F93" w:rsidP="00797EAC">
            <w:pPr>
              <w:rPr>
                <w:b/>
                <w:sz w:val="22"/>
              </w:rPr>
            </w:pPr>
          </w:p>
          <w:p w:rsidR="00460F93" w:rsidRDefault="00460F93" w:rsidP="00797EAC">
            <w:pPr>
              <w:rPr>
                <w:b/>
                <w:sz w:val="22"/>
              </w:rPr>
            </w:pPr>
            <w:r w:rsidRPr="00ED47F5">
              <w:rPr>
                <w:b/>
                <w:sz w:val="22"/>
              </w:rPr>
              <w:t>Lead Officer</w:t>
            </w:r>
            <w:r>
              <w:rPr>
                <w:b/>
                <w:sz w:val="22"/>
              </w:rPr>
              <w:t xml:space="preserve"> and/or</w:t>
            </w:r>
          </w:p>
          <w:p w:rsidR="00460F93" w:rsidRPr="00ED47F5" w:rsidRDefault="00460F93" w:rsidP="00797EAC">
            <w:pPr>
              <w:rPr>
                <w:b/>
                <w:sz w:val="22"/>
              </w:rPr>
            </w:pPr>
            <w:r>
              <w:rPr>
                <w:b/>
                <w:sz w:val="22"/>
              </w:rPr>
              <w:t>Lead Strategic Group</w:t>
            </w:r>
          </w:p>
        </w:tc>
        <w:tc>
          <w:tcPr>
            <w:tcW w:w="8392" w:type="dxa"/>
            <w:tcBorders>
              <w:bottom w:val="single" w:sz="4" w:space="0" w:color="auto"/>
            </w:tcBorders>
            <w:shd w:val="clear" w:color="auto" w:fill="D9D9D9"/>
          </w:tcPr>
          <w:p w:rsidR="00460F93" w:rsidRDefault="00460F93" w:rsidP="0021793B">
            <w:pPr>
              <w:rPr>
                <w:b/>
                <w:sz w:val="22"/>
              </w:rPr>
            </w:pPr>
          </w:p>
          <w:p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rsidR="00460F93" w:rsidRPr="00ED47F5" w:rsidRDefault="00460F93" w:rsidP="0021793B">
            <w:pPr>
              <w:rPr>
                <w:b/>
                <w:sz w:val="22"/>
              </w:rPr>
            </w:pPr>
          </w:p>
        </w:tc>
      </w:tr>
      <w:tr w:rsidR="00460F93" w:rsidTr="00A03855">
        <w:tblPrEx>
          <w:tblCellMar>
            <w:top w:w="0" w:type="dxa"/>
            <w:bottom w:w="0" w:type="dxa"/>
          </w:tblCellMar>
        </w:tblPrEx>
        <w:trPr>
          <w:trHeight w:val="616"/>
        </w:trPr>
        <w:tc>
          <w:tcPr>
            <w:tcW w:w="2977" w:type="dxa"/>
            <w:shd w:val="clear" w:color="auto" w:fill="auto"/>
          </w:tcPr>
          <w:p w:rsidR="00DB4A5A" w:rsidRDefault="0025709A" w:rsidP="0021793B">
            <w:pPr>
              <w:rPr>
                <w:sz w:val="22"/>
              </w:rPr>
            </w:pPr>
            <w:r>
              <w:rPr>
                <w:sz w:val="22"/>
              </w:rPr>
              <w:t>Not at this Stage</w:t>
            </w:r>
          </w:p>
          <w:p w:rsidR="00DB4A5A" w:rsidRDefault="00DB4A5A" w:rsidP="0021793B">
            <w:pPr>
              <w:rPr>
                <w:sz w:val="22"/>
              </w:rPr>
            </w:pPr>
          </w:p>
        </w:tc>
        <w:tc>
          <w:tcPr>
            <w:tcW w:w="3277" w:type="dxa"/>
            <w:shd w:val="clear" w:color="auto" w:fill="auto"/>
          </w:tcPr>
          <w:p w:rsidR="00460F93" w:rsidRDefault="0025709A" w:rsidP="00797EAC">
            <w:pPr>
              <w:rPr>
                <w:sz w:val="22"/>
              </w:rPr>
            </w:pPr>
            <w:r>
              <w:rPr>
                <w:sz w:val="22"/>
              </w:rPr>
              <w:t>Seamus Connolly</w:t>
            </w:r>
          </w:p>
        </w:tc>
        <w:tc>
          <w:tcPr>
            <w:tcW w:w="8392" w:type="dxa"/>
            <w:shd w:val="clear" w:color="auto" w:fill="auto"/>
          </w:tcPr>
          <w:p w:rsidR="00460F93" w:rsidRDefault="00460F93" w:rsidP="0021793B">
            <w:pPr>
              <w:rPr>
                <w:sz w:val="22"/>
              </w:rPr>
            </w:pPr>
          </w:p>
        </w:tc>
      </w:tr>
    </w:tbl>
    <w:p w:rsidR="00FE21D3" w:rsidRDefault="00FE21D3" w:rsidP="00FE21D3">
      <w:pPr>
        <w:ind w:firstLine="426"/>
        <w:rPr>
          <w:sz w:val="22"/>
        </w:rPr>
      </w:pPr>
    </w:p>
    <w:p w:rsidR="00CE4FCB" w:rsidRPr="00CE4FCB" w:rsidRDefault="00CE4FCB" w:rsidP="00A03855">
      <w:pPr>
        <w:pBdr>
          <w:top w:val="single" w:sz="4" w:space="1" w:color="auto"/>
          <w:left w:val="single" w:sz="4" w:space="4" w:color="auto"/>
          <w:bottom w:val="single" w:sz="4" w:space="1" w:color="auto"/>
          <w:right w:val="single" w:sz="4" w:space="22" w:color="auto"/>
        </w:pBdr>
        <w:ind w:left="426"/>
        <w:jc w:val="center"/>
        <w:rPr>
          <w:b/>
          <w:sz w:val="36"/>
          <w:szCs w:val="36"/>
        </w:rPr>
      </w:pPr>
      <w:r w:rsidRPr="00CE4FCB">
        <w:rPr>
          <w:b/>
          <w:sz w:val="36"/>
          <w:szCs w:val="36"/>
        </w:rPr>
        <w:t>Public Reporting</w:t>
      </w:r>
    </w:p>
    <w:p w:rsidR="00CE4FCB" w:rsidRDefault="00CE4FCB" w:rsidP="00A03855">
      <w:pPr>
        <w:pBdr>
          <w:top w:val="single" w:sz="4" w:space="1" w:color="auto"/>
          <w:left w:val="single" w:sz="4" w:space="4" w:color="auto"/>
          <w:bottom w:val="single" w:sz="4" w:space="1" w:color="auto"/>
          <w:right w:val="single" w:sz="4" w:space="22" w:color="auto"/>
        </w:pBdr>
        <w:ind w:left="426"/>
        <w:rPr>
          <w:sz w:val="22"/>
        </w:rPr>
      </w:pPr>
    </w:p>
    <w:p w:rsidR="00CE4FCB" w:rsidRDefault="00CE4FCB" w:rsidP="00A03855">
      <w:pPr>
        <w:pBdr>
          <w:top w:val="single" w:sz="4" w:space="1" w:color="auto"/>
          <w:left w:val="single" w:sz="4" w:space="4" w:color="auto"/>
          <w:bottom w:val="single" w:sz="4" w:space="1" w:color="auto"/>
          <w:right w:val="single" w:sz="4" w:space="22" w:color="auto"/>
        </w:pBdr>
        <w:ind w:left="426"/>
        <w:rPr>
          <w:sz w:val="22"/>
        </w:rPr>
      </w:pPr>
      <w:r>
        <w:rPr>
          <w:sz w:val="22"/>
        </w:rPr>
        <w:t xml:space="preserve">All completed EQIA Screenings are required to be publically available on the </w:t>
      </w:r>
      <w:hyperlink r:id="rId20" w:history="1">
        <w:r w:rsidRPr="00CE4FCB">
          <w:rPr>
            <w:rStyle w:val="Hyperlink"/>
            <w:sz w:val="22"/>
          </w:rPr>
          <w:t>Council EQIA Webpage</w:t>
        </w:r>
      </w:hyperlink>
      <w:r>
        <w:rPr>
          <w:sz w:val="22"/>
        </w:rPr>
        <w:t xml:space="preserve"> once they have been signed off by the relevant manager, and/or Strategic, Policy, or Operational Group. (See </w:t>
      </w:r>
      <w:hyperlink r:id="rId21" w:history="1">
        <w:r w:rsidRPr="00CE4FCB">
          <w:rPr>
            <w:rStyle w:val="Hyperlink"/>
            <w:sz w:val="22"/>
          </w:rPr>
          <w:t>EQIA Guidance</w:t>
        </w:r>
      </w:hyperlink>
      <w:r>
        <w:rPr>
          <w:sz w:val="22"/>
        </w:rPr>
        <w:t>: Pgs. 11-12)</w:t>
      </w:r>
    </w:p>
    <w:p w:rsidR="00CE4FCB" w:rsidRDefault="00CE4FCB" w:rsidP="00CE4FCB">
      <w:pPr>
        <w:rPr>
          <w:b/>
          <w:sz w:val="22"/>
        </w:rPr>
      </w:pPr>
    </w:p>
    <w:p w:rsidR="00CE1909" w:rsidRPr="00A03855" w:rsidRDefault="00CE1909" w:rsidP="005272A9">
      <w:pPr>
        <w:pStyle w:val="Heading1"/>
        <w:numPr>
          <w:ilvl w:val="0"/>
          <w:numId w:val="8"/>
        </w:numPr>
        <w:rPr>
          <w:sz w:val="36"/>
          <w:szCs w:val="36"/>
        </w:rPr>
      </w:pPr>
      <w:r w:rsidRPr="00A03855">
        <w:rPr>
          <w:sz w:val="36"/>
          <w:szCs w:val="36"/>
        </w:rPr>
        <w:t>M</w:t>
      </w:r>
      <w:r w:rsidR="00716EFA" w:rsidRPr="00A03855">
        <w:rPr>
          <w:sz w:val="36"/>
          <w:szCs w:val="36"/>
        </w:rPr>
        <w:t>ONITORING</w:t>
      </w:r>
      <w:r w:rsidRPr="00A03855">
        <w:rPr>
          <w:sz w:val="36"/>
          <w:szCs w:val="36"/>
        </w:rPr>
        <w:t xml:space="preserve"> OUTCOMES</w:t>
      </w:r>
      <w:r w:rsidR="00697CBC" w:rsidRPr="00A03855">
        <w:rPr>
          <w:sz w:val="36"/>
          <w:szCs w:val="36"/>
        </w:rPr>
        <w:t xml:space="preserve">, EVALUATION </w:t>
      </w:r>
      <w:r w:rsidR="005B5549" w:rsidRPr="00A03855">
        <w:rPr>
          <w:sz w:val="36"/>
          <w:szCs w:val="36"/>
        </w:rPr>
        <w:t>&amp; REVIEW</w:t>
      </w:r>
    </w:p>
    <w:p w:rsidR="00A403D7" w:rsidRDefault="00A403D7" w:rsidP="00A403D7">
      <w:pPr>
        <w:ind w:firstLine="720"/>
        <w:rPr>
          <w:sz w:val="22"/>
        </w:rPr>
      </w:pPr>
    </w:p>
    <w:p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rsidR="00ED47F5" w:rsidRDefault="00ED47F5" w:rsidP="005B5549">
      <w:pPr>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CE1909" w:rsidRDefault="00CE1909" w:rsidP="00CE1909">
      <w:pPr>
        <w:rPr>
          <w:sz w:val="22"/>
        </w:rPr>
      </w:pPr>
    </w:p>
    <w:p w:rsidR="00781F6A" w:rsidRDefault="00781F6A" w:rsidP="00CE1909">
      <w:pPr>
        <w:rPr>
          <w:sz w:val="22"/>
        </w:rPr>
        <w:sectPr w:rsidR="00781F6A" w:rsidSect="002101EA">
          <w:pgSz w:w="16838" w:h="11906" w:orient="landscape" w:code="9"/>
          <w:pgMar w:top="851" w:right="1440" w:bottom="1135" w:left="851" w:header="720" w:footer="720" w:gutter="0"/>
          <w:cols w:space="720"/>
        </w:sectPr>
      </w:pPr>
    </w:p>
    <w:p w:rsidR="00052239" w:rsidRPr="00CA2835" w:rsidRDefault="00052239" w:rsidP="00052239">
      <w:pPr>
        <w:pStyle w:val="Heading2"/>
        <w:rPr>
          <w:sz w:val="20"/>
        </w:rPr>
      </w:pPr>
      <w:r w:rsidRPr="00CA2835">
        <w:rPr>
          <w:sz w:val="20"/>
        </w:rPr>
        <w:t>Legislation</w:t>
      </w:r>
    </w:p>
    <w:p w:rsidR="00052239" w:rsidRPr="00CA2835" w:rsidRDefault="00052239" w:rsidP="00052239">
      <w:pPr>
        <w:rPr>
          <w:b/>
          <w:color w:val="231F20"/>
          <w:sz w:val="20"/>
          <w:lang w:val="en-US"/>
        </w:rPr>
      </w:pPr>
    </w:p>
    <w:p w:rsidR="00052239" w:rsidRPr="00CA2835" w:rsidRDefault="00052239" w:rsidP="00052239">
      <w:pPr>
        <w:rPr>
          <w:b/>
          <w:sz w:val="20"/>
        </w:rPr>
      </w:pPr>
      <w:r w:rsidRPr="00CA2835">
        <w:rPr>
          <w:b/>
          <w:sz w:val="20"/>
        </w:rPr>
        <w:t>Equality Act (2010) - the Equality Act 2010 (Specific Duties) Scotland Regulations 2012</w:t>
      </w:r>
    </w:p>
    <w:p w:rsidR="00052239" w:rsidRPr="00183BFB" w:rsidRDefault="00052239" w:rsidP="00183BFB">
      <w:pPr>
        <w:rPr>
          <w:sz w:val="20"/>
        </w:rPr>
      </w:pPr>
      <w:r w:rsidRPr="00183BFB">
        <w:rPr>
          <w:sz w:val="20"/>
        </w:rPr>
        <w:t xml:space="preserve">The 2010 Act consolidated previous equalities legislation to protect people from discrimination on grounds of: </w:t>
      </w:r>
    </w:p>
    <w:p w:rsidR="00052239" w:rsidRPr="00183BFB" w:rsidRDefault="00052239" w:rsidP="00052239">
      <w:pPr>
        <w:rPr>
          <w:sz w:val="20"/>
        </w:rPr>
      </w:pPr>
    </w:p>
    <w:p w:rsidR="00052239" w:rsidRPr="00CA2835" w:rsidRDefault="00052239" w:rsidP="005272A9">
      <w:pPr>
        <w:numPr>
          <w:ilvl w:val="0"/>
          <w:numId w:val="9"/>
        </w:numPr>
        <w:rPr>
          <w:sz w:val="20"/>
        </w:rPr>
      </w:pPr>
      <w:r w:rsidRPr="00CA2835">
        <w:rPr>
          <w:sz w:val="20"/>
        </w:rPr>
        <w:t>race</w:t>
      </w:r>
    </w:p>
    <w:p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rsidR="00052239" w:rsidRPr="00CA2835" w:rsidRDefault="00052239" w:rsidP="005272A9">
      <w:pPr>
        <w:numPr>
          <w:ilvl w:val="0"/>
          <w:numId w:val="9"/>
        </w:numPr>
        <w:rPr>
          <w:sz w:val="20"/>
        </w:rPr>
      </w:pPr>
      <w:r w:rsidRPr="00CA2835">
        <w:rPr>
          <w:sz w:val="20"/>
        </w:rPr>
        <w:t>sexual orientation (whether being lesbian, gay, bisexual or heterosexual)</w:t>
      </w:r>
    </w:p>
    <w:p w:rsidR="00052239" w:rsidRPr="00CA2835" w:rsidRDefault="00052239" w:rsidP="005272A9">
      <w:pPr>
        <w:numPr>
          <w:ilvl w:val="0"/>
          <w:numId w:val="9"/>
        </w:numPr>
        <w:rPr>
          <w:sz w:val="20"/>
        </w:rPr>
      </w:pPr>
      <w:r w:rsidRPr="00CA2835">
        <w:rPr>
          <w:sz w:val="20"/>
        </w:rPr>
        <w:t>disability (or because of something connected with their disability)</w:t>
      </w:r>
    </w:p>
    <w:p w:rsidR="00052239" w:rsidRPr="00CA2835" w:rsidRDefault="00052239" w:rsidP="005272A9">
      <w:pPr>
        <w:numPr>
          <w:ilvl w:val="0"/>
          <w:numId w:val="9"/>
        </w:numPr>
        <w:rPr>
          <w:sz w:val="20"/>
        </w:rPr>
      </w:pPr>
      <w:r w:rsidRPr="00CA2835">
        <w:rPr>
          <w:sz w:val="20"/>
        </w:rPr>
        <w:t>religion or belief</w:t>
      </w:r>
    </w:p>
    <w:p w:rsidR="00052239" w:rsidRPr="00CA2835" w:rsidRDefault="00052239" w:rsidP="005272A9">
      <w:pPr>
        <w:numPr>
          <w:ilvl w:val="0"/>
          <w:numId w:val="9"/>
        </w:numPr>
        <w:rPr>
          <w:sz w:val="20"/>
        </w:rPr>
      </w:pPr>
      <w:r w:rsidRPr="00CA2835">
        <w:rPr>
          <w:sz w:val="20"/>
        </w:rPr>
        <w:t>having just had a baby or being pregnant</w:t>
      </w:r>
    </w:p>
    <w:p w:rsidR="00052239" w:rsidRPr="00CA2835" w:rsidRDefault="00052239" w:rsidP="005272A9">
      <w:pPr>
        <w:numPr>
          <w:ilvl w:val="0"/>
          <w:numId w:val="9"/>
        </w:numPr>
        <w:rPr>
          <w:sz w:val="20"/>
        </w:rPr>
      </w:pPr>
      <w:r w:rsidRPr="00CA2835">
        <w:rPr>
          <w:sz w:val="20"/>
        </w:rPr>
        <w:t>being married or in a civil partnership, and</w:t>
      </w:r>
    </w:p>
    <w:p w:rsidR="00052239" w:rsidRPr="00CA2835" w:rsidRDefault="00052239" w:rsidP="005272A9">
      <w:pPr>
        <w:numPr>
          <w:ilvl w:val="0"/>
          <w:numId w:val="9"/>
        </w:numPr>
        <w:rPr>
          <w:sz w:val="20"/>
        </w:rPr>
      </w:pPr>
      <w:r w:rsidRPr="00CA2835">
        <w:rPr>
          <w:sz w:val="20"/>
        </w:rPr>
        <w:t>age.</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22" w:history="1">
        <w:r w:rsidR="007D5295" w:rsidRPr="00CA2835">
          <w:rPr>
            <w:rStyle w:val="Hyperlink"/>
            <w:sz w:val="20"/>
          </w:rPr>
          <w:t>Equality Act Guidance</w:t>
        </w:r>
      </w:hyperlink>
    </w:p>
    <w:p w:rsidR="00052239" w:rsidRPr="00CA2835" w:rsidRDefault="00052239" w:rsidP="00052239">
      <w:pPr>
        <w:rPr>
          <w:rFonts w:cs="Arial"/>
          <w:sz w:val="20"/>
        </w:rPr>
      </w:pPr>
    </w:p>
    <w:p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rsidR="00052239" w:rsidRPr="00CA2835" w:rsidRDefault="00052239" w:rsidP="00052239">
      <w:pPr>
        <w:rPr>
          <w:rFonts w:cs="Arial"/>
          <w:sz w:val="20"/>
          <w:lang w:val="en"/>
        </w:rPr>
      </w:pPr>
    </w:p>
    <w:p w:rsidR="00052239" w:rsidRPr="00CA2835" w:rsidRDefault="00052239" w:rsidP="005272A9">
      <w:pPr>
        <w:numPr>
          <w:ilvl w:val="0"/>
          <w:numId w:val="10"/>
        </w:numPr>
        <w:rPr>
          <w:sz w:val="20"/>
        </w:rPr>
      </w:pPr>
      <w:r w:rsidRPr="00CA2835">
        <w:rPr>
          <w:sz w:val="20"/>
        </w:rPr>
        <w:t>report progress on mainstreaming the general equality duty</w:t>
      </w:r>
    </w:p>
    <w:p w:rsidR="00052239" w:rsidRPr="00CA2835" w:rsidRDefault="00052239" w:rsidP="005272A9">
      <w:pPr>
        <w:numPr>
          <w:ilvl w:val="0"/>
          <w:numId w:val="10"/>
        </w:numPr>
        <w:rPr>
          <w:sz w:val="20"/>
        </w:rPr>
      </w:pPr>
      <w:r w:rsidRPr="00CA2835">
        <w:rPr>
          <w:sz w:val="20"/>
        </w:rPr>
        <w:t>publish equality outcomes and report progress in meeting those</w:t>
      </w:r>
    </w:p>
    <w:p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rsidR="00052239" w:rsidRPr="00CA2835" w:rsidRDefault="00052239" w:rsidP="005272A9">
      <w:pPr>
        <w:numPr>
          <w:ilvl w:val="0"/>
          <w:numId w:val="10"/>
        </w:numPr>
        <w:rPr>
          <w:sz w:val="20"/>
        </w:rPr>
      </w:pPr>
      <w:r w:rsidRPr="00CA2835">
        <w:rPr>
          <w:sz w:val="20"/>
        </w:rPr>
        <w:t>publish gender pay gap information and an equal pay statement</w:t>
      </w:r>
    </w:p>
    <w:p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23" w:history="1">
        <w:r w:rsidR="007D5295" w:rsidRPr="00CA2835">
          <w:rPr>
            <w:rStyle w:val="Hyperlink"/>
            <w:sz w:val="20"/>
          </w:rPr>
          <w:t>Understanding Scottish Specific Public Sector Equality Duties</w:t>
        </w:r>
      </w:hyperlink>
    </w:p>
    <w:p w:rsidR="00052239" w:rsidRPr="00CA2835" w:rsidRDefault="00052239" w:rsidP="00052239">
      <w:pPr>
        <w:rPr>
          <w:sz w:val="20"/>
        </w:rPr>
      </w:pPr>
    </w:p>
    <w:p w:rsidR="00CA2835" w:rsidRDefault="00CA2835" w:rsidP="00052239">
      <w:pPr>
        <w:rPr>
          <w:b/>
          <w:sz w:val="20"/>
        </w:rPr>
      </w:pPr>
    </w:p>
    <w:p w:rsidR="007D5295" w:rsidRPr="00CA2835" w:rsidRDefault="00CA2835" w:rsidP="00052239">
      <w:pPr>
        <w:rPr>
          <w:b/>
          <w:sz w:val="20"/>
        </w:rPr>
      </w:pPr>
      <w:r w:rsidRPr="00CA2835">
        <w:rPr>
          <w:b/>
          <w:sz w:val="20"/>
        </w:rPr>
        <w:t>Fairer Scotland Duty</w:t>
      </w:r>
    </w:p>
    <w:p w:rsidR="00CA2835" w:rsidRDefault="00CA2835" w:rsidP="00052239">
      <w:pPr>
        <w:rPr>
          <w:sz w:val="20"/>
        </w:rPr>
      </w:pPr>
      <w:r>
        <w:rPr>
          <w:sz w:val="20"/>
        </w:rPr>
        <w:t xml:space="preserve">Authorities should also consider Socio-Economic Impacts where appropriate.  Further information: </w:t>
      </w:r>
      <w:hyperlink r:id="rId24" w:history="1">
        <w:r w:rsidRPr="00CA2835">
          <w:rPr>
            <w:rStyle w:val="Hyperlink"/>
            <w:sz w:val="20"/>
          </w:rPr>
          <w:t>Fairer Scotland Duty Interim Guidance</w:t>
        </w:r>
      </w:hyperlink>
    </w:p>
    <w:p w:rsidR="00CA2835" w:rsidRDefault="00CA2835" w:rsidP="00052239">
      <w:pPr>
        <w:rPr>
          <w:b/>
          <w:sz w:val="20"/>
        </w:rPr>
      </w:pPr>
    </w:p>
    <w:p w:rsidR="00CA2835" w:rsidRDefault="00CA2835" w:rsidP="00052239">
      <w:pPr>
        <w:rPr>
          <w:b/>
          <w:sz w:val="20"/>
        </w:rPr>
      </w:pPr>
    </w:p>
    <w:p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43D" w:rsidRDefault="00E0743D">
      <w:r>
        <w:separator/>
      </w:r>
    </w:p>
  </w:endnote>
  <w:endnote w:type="continuationSeparator" w:id="0">
    <w:p w:rsidR="00E0743D" w:rsidRDefault="00E0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4" w:rsidRDefault="00A03855" w:rsidP="00A03855">
    <w:pPr>
      <w:pStyle w:val="Footer"/>
      <w:jc w:val="center"/>
    </w:pPr>
    <w:fldSimple w:instr=" DOCPROPERTY bjFooterEvenPageDocProperty \* MERGEFORMAT " w:fldLock="1">
      <w:r w:rsidRPr="00A03855">
        <w:rPr>
          <w:rFonts w:cs="Arial"/>
          <w:b/>
          <w:color w:val="000000"/>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4" w:rsidRDefault="00A03855" w:rsidP="00A03855">
    <w:pPr>
      <w:pStyle w:val="Footer"/>
      <w:jc w:val="center"/>
      <w:rPr>
        <w:snapToGrid w:val="0"/>
        <w:sz w:val="16"/>
      </w:rPr>
    </w:pPr>
    <w:r>
      <w:rPr>
        <w:snapToGrid w:val="0"/>
        <w:sz w:val="16"/>
      </w:rPr>
      <w:fldChar w:fldCharType="begin" w:fldLock="1"/>
    </w:r>
    <w:r>
      <w:rPr>
        <w:snapToGrid w:val="0"/>
        <w:sz w:val="16"/>
      </w:rPr>
      <w:instrText xml:space="preserve"> DOCPROPERTY bjFooterBothDocProperty \* MERGEFORMAT </w:instrText>
    </w:r>
    <w:r>
      <w:rPr>
        <w:snapToGrid w:val="0"/>
        <w:sz w:val="16"/>
      </w:rPr>
      <w:fldChar w:fldCharType="separate"/>
    </w:r>
    <w:r w:rsidRPr="00A03855">
      <w:rPr>
        <w:rFonts w:cs="Arial"/>
        <w:b/>
        <w:snapToGrid w:val="0"/>
        <w:color w:val="000000"/>
      </w:rPr>
      <w:t>OFFICIAL</w:t>
    </w:r>
    <w:r>
      <w:rPr>
        <w:snapToGrid w:val="0"/>
        <w:sz w:val="16"/>
      </w:rPr>
      <w:fldChar w:fldCharType="end"/>
    </w:r>
  </w:p>
  <w:p w:rsidR="00797EAC" w:rsidRDefault="00797EAC">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37185D">
      <w:rPr>
        <w:noProof/>
        <w:snapToGrid w:val="0"/>
        <w:sz w:val="16"/>
      </w:rPr>
      <w:t>\\cpfpsclc01fs\MyDocs$\quinnc\Documents\Desktop\Equalities\EQIA\Equality Screening Form March 2019 Training draft.doc</w:t>
    </w:r>
    <w:r>
      <w:rPr>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55" w:rsidRDefault="00A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43D" w:rsidRDefault="00E0743D">
      <w:r>
        <w:separator/>
      </w:r>
    </w:p>
  </w:footnote>
  <w:footnote w:type="continuationSeparator" w:id="0">
    <w:p w:rsidR="00E0743D" w:rsidRDefault="00E0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4" w:rsidRDefault="00A03855" w:rsidP="00A03855">
    <w:pPr>
      <w:pStyle w:val="Header"/>
      <w:jc w:val="center"/>
    </w:pPr>
    <w:fldSimple w:instr=" DOCPROPERTY bjHeaderEvenPageDocProperty \* MERGEFORMAT " w:fldLock="1">
      <w:r w:rsidRPr="00A03855">
        <w:rPr>
          <w:rFonts w:cs="Arial"/>
          <w:b/>
          <w:color w:val="000000"/>
        </w:rPr>
        <w:t>OFFICIAL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4" w:rsidRDefault="00A03855" w:rsidP="00A03855">
    <w:pPr>
      <w:pStyle w:val="Header"/>
      <w:tabs>
        <w:tab w:val="left" w:pos="825"/>
        <w:tab w:val="right" w:pos="14547"/>
      </w:tabs>
      <w:jc w:val="center"/>
      <w:rPr>
        <w:b/>
        <w:noProof/>
      </w:rPr>
    </w:pPr>
    <w:r>
      <w:rPr>
        <w:b/>
        <w:noProof/>
      </w:rPr>
      <w:fldChar w:fldCharType="begin" w:fldLock="1"/>
    </w:r>
    <w:r>
      <w:rPr>
        <w:b/>
        <w:noProof/>
      </w:rPr>
      <w:instrText xml:space="preserve"> DOCPROPERTY bjHeaderBothDocProperty \* MERGEFORMAT </w:instrText>
    </w:r>
    <w:r>
      <w:rPr>
        <w:b/>
        <w:noProof/>
      </w:rPr>
      <w:fldChar w:fldCharType="separate"/>
    </w:r>
    <w:r w:rsidRPr="00A03855">
      <w:rPr>
        <w:rFonts w:cs="Arial"/>
        <w:b/>
        <w:noProof/>
        <w:color w:val="000000"/>
      </w:rPr>
      <w:t>OFFICIAL</w:t>
    </w:r>
    <w:r>
      <w:rPr>
        <w:b/>
        <w:noProof/>
      </w:rPr>
      <w:fldChar w:fldCharType="end"/>
    </w:r>
  </w:p>
  <w:p w:rsidR="00797EAC" w:rsidRDefault="00797EAC" w:rsidP="00A03855">
    <w:pPr>
      <w:pStyle w:val="Header"/>
      <w:tabs>
        <w:tab w:val="left" w:pos="825"/>
        <w:tab w:val="right" w:pos="14547"/>
      </w:tabs>
      <w:jc w:val="right"/>
      <w:rPr>
        <w:b/>
      </w:rPr>
    </w:pPr>
    <w:r>
      <w:rPr>
        <w:b/>
        <w:noProof/>
      </w:rPr>
      <w:t>EQIA Screening Form</w:t>
    </w:r>
  </w:p>
  <w:p w:rsidR="00797EAC" w:rsidRPr="00183BFB" w:rsidRDefault="00797EAC" w:rsidP="00CE2D80">
    <w:pPr>
      <w:pStyle w:val="Header"/>
      <w:jc w:val="right"/>
      <w:rPr>
        <w:b/>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55" w:rsidRDefault="00A03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156B9F"/>
    <w:multiLevelType w:val="hybridMultilevel"/>
    <w:tmpl w:val="0B5C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E3B32"/>
    <w:multiLevelType w:val="multilevel"/>
    <w:tmpl w:val="3D4E6E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E4F4B"/>
    <w:multiLevelType w:val="hybridMultilevel"/>
    <w:tmpl w:val="ADC01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14"/>
  </w:num>
  <w:num w:numId="2">
    <w:abstractNumId w:val="19"/>
  </w:num>
  <w:num w:numId="3">
    <w:abstractNumId w:val="9"/>
  </w:num>
  <w:num w:numId="4">
    <w:abstractNumId w:val="21"/>
  </w:num>
  <w:num w:numId="5">
    <w:abstractNumId w:val="5"/>
  </w:num>
  <w:num w:numId="6">
    <w:abstractNumId w:val="16"/>
  </w:num>
  <w:num w:numId="7">
    <w:abstractNumId w:val="7"/>
  </w:num>
  <w:num w:numId="8">
    <w:abstractNumId w:val="15"/>
  </w:num>
  <w:num w:numId="9">
    <w:abstractNumId w:val="8"/>
  </w:num>
  <w:num w:numId="10">
    <w:abstractNumId w:val="1"/>
  </w:num>
  <w:num w:numId="11">
    <w:abstractNumId w:val="2"/>
  </w:num>
  <w:num w:numId="12">
    <w:abstractNumId w:val="3"/>
  </w:num>
  <w:num w:numId="13">
    <w:abstractNumId w:val="22"/>
  </w:num>
  <w:num w:numId="14">
    <w:abstractNumId w:val="24"/>
  </w:num>
  <w:num w:numId="15">
    <w:abstractNumId w:val="13"/>
  </w:num>
  <w:num w:numId="16">
    <w:abstractNumId w:val="12"/>
  </w:num>
  <w:num w:numId="17">
    <w:abstractNumId w:val="20"/>
  </w:num>
  <w:num w:numId="18">
    <w:abstractNumId w:val="4"/>
  </w:num>
  <w:num w:numId="19">
    <w:abstractNumId w:val="10"/>
  </w:num>
  <w:num w:numId="20">
    <w:abstractNumId w:val="18"/>
  </w:num>
  <w:num w:numId="21">
    <w:abstractNumId w:val="23"/>
  </w:num>
  <w:num w:numId="22">
    <w:abstractNumId w:val="0"/>
  </w:num>
  <w:num w:numId="23">
    <w:abstractNumId w:val="11"/>
  </w:num>
  <w:num w:numId="24">
    <w:abstractNumId w:val="6"/>
  </w:num>
  <w:num w:numId="2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F3"/>
    <w:rsid w:val="00030EEA"/>
    <w:rsid w:val="00052239"/>
    <w:rsid w:val="00053F44"/>
    <w:rsid w:val="00063F60"/>
    <w:rsid w:val="000706CA"/>
    <w:rsid w:val="00073CFF"/>
    <w:rsid w:val="00077E39"/>
    <w:rsid w:val="00085E32"/>
    <w:rsid w:val="0008624C"/>
    <w:rsid w:val="0008714A"/>
    <w:rsid w:val="00087C6A"/>
    <w:rsid w:val="0009480A"/>
    <w:rsid w:val="000B6735"/>
    <w:rsid w:val="000E4CA3"/>
    <w:rsid w:val="000F0870"/>
    <w:rsid w:val="000F0C7E"/>
    <w:rsid w:val="00104987"/>
    <w:rsid w:val="0011237F"/>
    <w:rsid w:val="00114156"/>
    <w:rsid w:val="0012185A"/>
    <w:rsid w:val="00124879"/>
    <w:rsid w:val="0013070E"/>
    <w:rsid w:val="0013508F"/>
    <w:rsid w:val="0015074D"/>
    <w:rsid w:val="00163A6F"/>
    <w:rsid w:val="00164CBF"/>
    <w:rsid w:val="0016790C"/>
    <w:rsid w:val="00176181"/>
    <w:rsid w:val="00177E1F"/>
    <w:rsid w:val="001816F7"/>
    <w:rsid w:val="00183998"/>
    <w:rsid w:val="00183BFB"/>
    <w:rsid w:val="001B171C"/>
    <w:rsid w:val="001C56EF"/>
    <w:rsid w:val="001C5F12"/>
    <w:rsid w:val="001C7E75"/>
    <w:rsid w:val="001D4004"/>
    <w:rsid w:val="002101EA"/>
    <w:rsid w:val="0021793B"/>
    <w:rsid w:val="002209C3"/>
    <w:rsid w:val="00225422"/>
    <w:rsid w:val="00246BB5"/>
    <w:rsid w:val="00250147"/>
    <w:rsid w:val="0025709A"/>
    <w:rsid w:val="00273AF0"/>
    <w:rsid w:val="00275D4A"/>
    <w:rsid w:val="0029498D"/>
    <w:rsid w:val="002A0098"/>
    <w:rsid w:val="002A4E78"/>
    <w:rsid w:val="002B31B4"/>
    <w:rsid w:val="002B5865"/>
    <w:rsid w:val="002B66F4"/>
    <w:rsid w:val="002C0B4C"/>
    <w:rsid w:val="002C654F"/>
    <w:rsid w:val="002D10C9"/>
    <w:rsid w:val="002F241A"/>
    <w:rsid w:val="00325E1D"/>
    <w:rsid w:val="003358CC"/>
    <w:rsid w:val="00340934"/>
    <w:rsid w:val="003426B7"/>
    <w:rsid w:val="00345766"/>
    <w:rsid w:val="00346502"/>
    <w:rsid w:val="00352B4A"/>
    <w:rsid w:val="0036175C"/>
    <w:rsid w:val="00362564"/>
    <w:rsid w:val="00366C2C"/>
    <w:rsid w:val="0037185D"/>
    <w:rsid w:val="00374DBE"/>
    <w:rsid w:val="00381A23"/>
    <w:rsid w:val="0038355C"/>
    <w:rsid w:val="00391371"/>
    <w:rsid w:val="003B6B67"/>
    <w:rsid w:val="003B7FAA"/>
    <w:rsid w:val="003C5904"/>
    <w:rsid w:val="003D1827"/>
    <w:rsid w:val="003E6EE9"/>
    <w:rsid w:val="003F1DCB"/>
    <w:rsid w:val="00400A19"/>
    <w:rsid w:val="00405005"/>
    <w:rsid w:val="00412050"/>
    <w:rsid w:val="004309F5"/>
    <w:rsid w:val="00434203"/>
    <w:rsid w:val="00460F93"/>
    <w:rsid w:val="00471B2B"/>
    <w:rsid w:val="00473766"/>
    <w:rsid w:val="00477D19"/>
    <w:rsid w:val="00495082"/>
    <w:rsid w:val="00496A1C"/>
    <w:rsid w:val="00496CF3"/>
    <w:rsid w:val="004A5DD7"/>
    <w:rsid w:val="004B614C"/>
    <w:rsid w:val="004C043C"/>
    <w:rsid w:val="004C2554"/>
    <w:rsid w:val="004C4067"/>
    <w:rsid w:val="004C6B7A"/>
    <w:rsid w:val="004C6C9B"/>
    <w:rsid w:val="00505CF9"/>
    <w:rsid w:val="00515712"/>
    <w:rsid w:val="00517085"/>
    <w:rsid w:val="0052689E"/>
    <w:rsid w:val="00527188"/>
    <w:rsid w:val="005272A9"/>
    <w:rsid w:val="00527358"/>
    <w:rsid w:val="00530518"/>
    <w:rsid w:val="00532567"/>
    <w:rsid w:val="005427A5"/>
    <w:rsid w:val="0054365E"/>
    <w:rsid w:val="005510D1"/>
    <w:rsid w:val="00572578"/>
    <w:rsid w:val="00572612"/>
    <w:rsid w:val="0057452E"/>
    <w:rsid w:val="0057787F"/>
    <w:rsid w:val="00581ED9"/>
    <w:rsid w:val="00591E22"/>
    <w:rsid w:val="00592EBA"/>
    <w:rsid w:val="00595C1B"/>
    <w:rsid w:val="005A16AE"/>
    <w:rsid w:val="005B4936"/>
    <w:rsid w:val="005B4DBA"/>
    <w:rsid w:val="005B5549"/>
    <w:rsid w:val="005E5A56"/>
    <w:rsid w:val="005F3BDB"/>
    <w:rsid w:val="00603CCF"/>
    <w:rsid w:val="00605421"/>
    <w:rsid w:val="00612995"/>
    <w:rsid w:val="00613521"/>
    <w:rsid w:val="006143BD"/>
    <w:rsid w:val="00614A88"/>
    <w:rsid w:val="00622D3D"/>
    <w:rsid w:val="0062562D"/>
    <w:rsid w:val="00633695"/>
    <w:rsid w:val="006408DF"/>
    <w:rsid w:val="006512DD"/>
    <w:rsid w:val="00651D53"/>
    <w:rsid w:val="00661081"/>
    <w:rsid w:val="00662EB4"/>
    <w:rsid w:val="00665243"/>
    <w:rsid w:val="006714F6"/>
    <w:rsid w:val="00674DF3"/>
    <w:rsid w:val="00681070"/>
    <w:rsid w:val="00684D85"/>
    <w:rsid w:val="00685ECF"/>
    <w:rsid w:val="00697CBC"/>
    <w:rsid w:val="006A6F61"/>
    <w:rsid w:val="006B4042"/>
    <w:rsid w:val="006D3284"/>
    <w:rsid w:val="006F340C"/>
    <w:rsid w:val="0070176D"/>
    <w:rsid w:val="00702265"/>
    <w:rsid w:val="007073B2"/>
    <w:rsid w:val="00711922"/>
    <w:rsid w:val="00716EFA"/>
    <w:rsid w:val="00724573"/>
    <w:rsid w:val="00726CB5"/>
    <w:rsid w:val="00731DA5"/>
    <w:rsid w:val="0073629D"/>
    <w:rsid w:val="00737DEA"/>
    <w:rsid w:val="00763FD0"/>
    <w:rsid w:val="00765A32"/>
    <w:rsid w:val="007672DC"/>
    <w:rsid w:val="007674AE"/>
    <w:rsid w:val="00772287"/>
    <w:rsid w:val="0078155B"/>
    <w:rsid w:val="00781A47"/>
    <w:rsid w:val="00781F6A"/>
    <w:rsid w:val="00792A8B"/>
    <w:rsid w:val="00797CEA"/>
    <w:rsid w:val="00797EAC"/>
    <w:rsid w:val="007B63E5"/>
    <w:rsid w:val="007D5295"/>
    <w:rsid w:val="007D6111"/>
    <w:rsid w:val="007F05A4"/>
    <w:rsid w:val="007F1170"/>
    <w:rsid w:val="00805216"/>
    <w:rsid w:val="00812CE8"/>
    <w:rsid w:val="008170D5"/>
    <w:rsid w:val="00825102"/>
    <w:rsid w:val="00827005"/>
    <w:rsid w:val="008332BF"/>
    <w:rsid w:val="008412C8"/>
    <w:rsid w:val="00867152"/>
    <w:rsid w:val="00874EAF"/>
    <w:rsid w:val="00876C72"/>
    <w:rsid w:val="008832A9"/>
    <w:rsid w:val="0088357C"/>
    <w:rsid w:val="00885D91"/>
    <w:rsid w:val="00890BE9"/>
    <w:rsid w:val="0089298E"/>
    <w:rsid w:val="00894F47"/>
    <w:rsid w:val="0089518D"/>
    <w:rsid w:val="00895318"/>
    <w:rsid w:val="008A731C"/>
    <w:rsid w:val="008C2BCD"/>
    <w:rsid w:val="008F29C4"/>
    <w:rsid w:val="00910641"/>
    <w:rsid w:val="00926AD4"/>
    <w:rsid w:val="00927671"/>
    <w:rsid w:val="00927742"/>
    <w:rsid w:val="00935838"/>
    <w:rsid w:val="009410B0"/>
    <w:rsid w:val="0095563E"/>
    <w:rsid w:val="00961760"/>
    <w:rsid w:val="00971736"/>
    <w:rsid w:val="00972E56"/>
    <w:rsid w:val="00977EAB"/>
    <w:rsid w:val="00981B6F"/>
    <w:rsid w:val="00996D71"/>
    <w:rsid w:val="009A1905"/>
    <w:rsid w:val="009A41FC"/>
    <w:rsid w:val="009B7CF5"/>
    <w:rsid w:val="009C4418"/>
    <w:rsid w:val="009D7CCA"/>
    <w:rsid w:val="009E2B43"/>
    <w:rsid w:val="009E6CD9"/>
    <w:rsid w:val="009F73B4"/>
    <w:rsid w:val="009F7E8E"/>
    <w:rsid w:val="00A007F2"/>
    <w:rsid w:val="00A03855"/>
    <w:rsid w:val="00A205AB"/>
    <w:rsid w:val="00A229B4"/>
    <w:rsid w:val="00A31340"/>
    <w:rsid w:val="00A403D7"/>
    <w:rsid w:val="00A56096"/>
    <w:rsid w:val="00A67987"/>
    <w:rsid w:val="00A67C25"/>
    <w:rsid w:val="00A70B46"/>
    <w:rsid w:val="00A86BA8"/>
    <w:rsid w:val="00AB0BF9"/>
    <w:rsid w:val="00AB7CA7"/>
    <w:rsid w:val="00AD0BF5"/>
    <w:rsid w:val="00AE31B6"/>
    <w:rsid w:val="00AE3AAF"/>
    <w:rsid w:val="00AE6477"/>
    <w:rsid w:val="00AE6831"/>
    <w:rsid w:val="00AF3C5C"/>
    <w:rsid w:val="00B021C3"/>
    <w:rsid w:val="00B04CFA"/>
    <w:rsid w:val="00B07F00"/>
    <w:rsid w:val="00B155CD"/>
    <w:rsid w:val="00B203B1"/>
    <w:rsid w:val="00B24E1C"/>
    <w:rsid w:val="00B25BF3"/>
    <w:rsid w:val="00B30107"/>
    <w:rsid w:val="00B37596"/>
    <w:rsid w:val="00B45129"/>
    <w:rsid w:val="00B52761"/>
    <w:rsid w:val="00B55E10"/>
    <w:rsid w:val="00B670FD"/>
    <w:rsid w:val="00B70128"/>
    <w:rsid w:val="00B80CC7"/>
    <w:rsid w:val="00BA2C9A"/>
    <w:rsid w:val="00BA61E4"/>
    <w:rsid w:val="00BB3136"/>
    <w:rsid w:val="00BC1931"/>
    <w:rsid w:val="00BC52EF"/>
    <w:rsid w:val="00BE5FDB"/>
    <w:rsid w:val="00BE6333"/>
    <w:rsid w:val="00BF402D"/>
    <w:rsid w:val="00C1663B"/>
    <w:rsid w:val="00C2635A"/>
    <w:rsid w:val="00C323CB"/>
    <w:rsid w:val="00C35684"/>
    <w:rsid w:val="00C4573C"/>
    <w:rsid w:val="00C5294C"/>
    <w:rsid w:val="00C62B09"/>
    <w:rsid w:val="00C7276E"/>
    <w:rsid w:val="00C72819"/>
    <w:rsid w:val="00C82650"/>
    <w:rsid w:val="00C87613"/>
    <w:rsid w:val="00C91676"/>
    <w:rsid w:val="00C9413F"/>
    <w:rsid w:val="00CA032A"/>
    <w:rsid w:val="00CA2835"/>
    <w:rsid w:val="00CB456B"/>
    <w:rsid w:val="00CC2818"/>
    <w:rsid w:val="00CC2D1C"/>
    <w:rsid w:val="00CC555C"/>
    <w:rsid w:val="00CD4B48"/>
    <w:rsid w:val="00CD4FA1"/>
    <w:rsid w:val="00CD7794"/>
    <w:rsid w:val="00CE1909"/>
    <w:rsid w:val="00CE1ACE"/>
    <w:rsid w:val="00CE1EF6"/>
    <w:rsid w:val="00CE2D80"/>
    <w:rsid w:val="00CE4FCB"/>
    <w:rsid w:val="00CF2D5B"/>
    <w:rsid w:val="00D12FA3"/>
    <w:rsid w:val="00D31128"/>
    <w:rsid w:val="00D376F2"/>
    <w:rsid w:val="00D41C56"/>
    <w:rsid w:val="00D468E8"/>
    <w:rsid w:val="00D5505F"/>
    <w:rsid w:val="00D55226"/>
    <w:rsid w:val="00D55678"/>
    <w:rsid w:val="00D70CD6"/>
    <w:rsid w:val="00D71B6A"/>
    <w:rsid w:val="00D82AF9"/>
    <w:rsid w:val="00D93365"/>
    <w:rsid w:val="00DA39AE"/>
    <w:rsid w:val="00DA627A"/>
    <w:rsid w:val="00DB2FDE"/>
    <w:rsid w:val="00DB4A5A"/>
    <w:rsid w:val="00DC3B3E"/>
    <w:rsid w:val="00DC7A9E"/>
    <w:rsid w:val="00DD1AAA"/>
    <w:rsid w:val="00DE1DDE"/>
    <w:rsid w:val="00DE294B"/>
    <w:rsid w:val="00DF0ACF"/>
    <w:rsid w:val="00DF7698"/>
    <w:rsid w:val="00E06CD9"/>
    <w:rsid w:val="00E0743D"/>
    <w:rsid w:val="00E26C53"/>
    <w:rsid w:val="00E33168"/>
    <w:rsid w:val="00E34DED"/>
    <w:rsid w:val="00E43F9B"/>
    <w:rsid w:val="00E9111E"/>
    <w:rsid w:val="00E963E1"/>
    <w:rsid w:val="00EA0B34"/>
    <w:rsid w:val="00EB21CD"/>
    <w:rsid w:val="00EB23B8"/>
    <w:rsid w:val="00EC313F"/>
    <w:rsid w:val="00ED47F5"/>
    <w:rsid w:val="00EE140D"/>
    <w:rsid w:val="00EE54AD"/>
    <w:rsid w:val="00EE6A60"/>
    <w:rsid w:val="00EE7F93"/>
    <w:rsid w:val="00EF4BA4"/>
    <w:rsid w:val="00EF57FB"/>
    <w:rsid w:val="00F06029"/>
    <w:rsid w:val="00F357F5"/>
    <w:rsid w:val="00F63FB9"/>
    <w:rsid w:val="00F6565A"/>
    <w:rsid w:val="00F767A9"/>
    <w:rsid w:val="00F814E6"/>
    <w:rsid w:val="00F8778F"/>
    <w:rsid w:val="00FA55B2"/>
    <w:rsid w:val="00FB4C92"/>
    <w:rsid w:val="00FB652D"/>
    <w:rsid w:val="00FC051D"/>
    <w:rsid w:val="00FC2964"/>
    <w:rsid w:val="00FD5C99"/>
    <w:rsid w:val="00FD7A0C"/>
    <w:rsid w:val="00FE1ACF"/>
    <w:rsid w:val="00FE21D3"/>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27ED38-D082-4A50-B2ED-56AA88B9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character" w:styleId="Emphasis">
    <w:name w:val="Emphasis"/>
    <w:uiPriority w:val="20"/>
    <w:qFormat/>
    <w:rsid w:val="00030EEA"/>
    <w:rPr>
      <w:b/>
      <w:bCs/>
      <w:i w:val="0"/>
      <w:iCs w:val="0"/>
    </w:rPr>
  </w:style>
  <w:style w:type="character" w:customStyle="1" w:styleId="st1">
    <w:name w:val="st1"/>
    <w:rsid w:val="0003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glasgow.gov.uk/index.aspx?articleid=1753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v.uk/definition-of-disability-under-equality-act-20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20" Type="http://schemas.openxmlformats.org/officeDocument/2006/relationships/hyperlink" Target="https://www.glasgow.gov.uk/index.aspx?articleid=175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5" Type="http://schemas.openxmlformats.org/officeDocument/2006/relationships/settings" Target="settings.xml"/><Relationship Id="rId15" Type="http://schemas.openxmlformats.org/officeDocument/2006/relationships/hyperlink" Target="https://www.kcl.ac.uk/ioppn/news/records/2018/january/Study-suggests-exposure-to-trees-the-sky-and-birdsong-in-cities-beneficial-for-mental-wellbeing" TargetMode="External"/><Relationship Id="rId23"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10" Type="http://schemas.openxmlformats.org/officeDocument/2006/relationships/header" Target="header2.xml"/><Relationship Id="rId19"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equality-act-201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BAAC-3FF6-4E8C-A2C4-1C36566B766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EE1AC0-9441-47A6-BABB-7EA0B04B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2293</Words>
  <Characters>15105</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17364</CharactersWithSpaces>
  <SharedDoc>false</SharedDoc>
  <HLinks>
    <vt:vector size="60" baseType="variant">
      <vt:variant>
        <vt:i4>655365</vt:i4>
      </vt:variant>
      <vt:variant>
        <vt:i4>27</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24</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21</vt:i4>
      </vt:variant>
      <vt:variant>
        <vt:i4>0</vt:i4>
      </vt:variant>
      <vt:variant>
        <vt:i4>5</vt:i4>
      </vt:variant>
      <vt:variant>
        <vt:lpwstr>https://www.gov.uk/equality-act-2010-guidance</vt:lpwstr>
      </vt:variant>
      <vt:variant>
        <vt:lpwstr/>
      </vt:variant>
      <vt:variant>
        <vt:i4>4194368</vt:i4>
      </vt:variant>
      <vt:variant>
        <vt:i4>18</vt:i4>
      </vt:variant>
      <vt:variant>
        <vt:i4>0</vt:i4>
      </vt:variant>
      <vt:variant>
        <vt:i4>5</vt:i4>
      </vt:variant>
      <vt:variant>
        <vt:lpwstr>https://www.glasgow.gov.uk/index.aspx?articleid=17533</vt:lpwstr>
      </vt:variant>
      <vt:variant>
        <vt:lpwstr/>
      </vt:variant>
      <vt:variant>
        <vt:i4>4194368</vt:i4>
      </vt:variant>
      <vt:variant>
        <vt:i4>15</vt:i4>
      </vt:variant>
      <vt:variant>
        <vt:i4>0</vt:i4>
      </vt:variant>
      <vt:variant>
        <vt:i4>5</vt:i4>
      </vt:variant>
      <vt:variant>
        <vt:lpwstr>https://www.glasgow.gov.uk/index.aspx?articleid=17533</vt:lpwstr>
      </vt:variant>
      <vt:variant>
        <vt:lpwstr/>
      </vt:variant>
      <vt:variant>
        <vt:i4>6422632</vt:i4>
      </vt:variant>
      <vt:variant>
        <vt:i4>12</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9</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6</vt:i4>
      </vt:variant>
      <vt:variant>
        <vt:i4>0</vt:i4>
      </vt:variant>
      <vt:variant>
        <vt:i4>5</vt:i4>
      </vt:variant>
      <vt:variant>
        <vt:lpwstr>https://www.gov.uk/definition-of-disability-under-equality-act-2010</vt:lpwstr>
      </vt:variant>
      <vt:variant>
        <vt:lpwstr/>
      </vt:variant>
      <vt:variant>
        <vt:i4>721011</vt:i4>
      </vt:variant>
      <vt:variant>
        <vt:i4>3</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ariant>
        <vt:i4>5111900</vt:i4>
      </vt:variant>
      <vt:variant>
        <vt:i4>0</vt:i4>
      </vt:variant>
      <vt:variant>
        <vt:i4>0</vt:i4>
      </vt:variant>
      <vt:variant>
        <vt:i4>5</vt:i4>
      </vt:variant>
      <vt:variant>
        <vt:lpwstr>https://www.kcl.ac.uk/ioppn/news/records/2018/january/Study-suggests-exposure-to-trees-the-sky-and-birdsong-in-cities-beneficial-for-mental-wellbeing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Speirs, Alan (Social Work)</cp:lastModifiedBy>
  <cp:revision>2</cp:revision>
  <cp:lastPrinted>2019-03-04T17:56:00Z</cp:lastPrinted>
  <dcterms:created xsi:type="dcterms:W3CDTF">2021-01-12T11:19:00Z</dcterms:created>
  <dcterms:modified xsi:type="dcterms:W3CDTF">2021-01-12T11:19:00Z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87c87879-2072-49ae-a0c1-0151fc92bf7d</vt:lpwstr>
  </property>
  <property fmtid="{D5CDD505-2E9C-101B-9397-08002B2CF9AE}" pid="3" name="bjSaver">
    <vt:lpwstr>u0agKD9Oj8RVrPF/2WBlsYBYAqiyfsKz</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