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64C" w:rsidRDefault="00407462">
      <w:pPr>
        <w:pStyle w:val="Standard"/>
        <w:jc w:val="center"/>
        <w:rPr>
          <w:b/>
          <w:sz w:val="40"/>
          <w:szCs w:val="40"/>
        </w:rPr>
      </w:pPr>
      <w:r>
        <w:rPr>
          <w:b/>
          <w:sz w:val="40"/>
          <w:szCs w:val="40"/>
        </w:rPr>
        <w:t xml:space="preserve"> EQUALITY IMPACT ASSESSMENT (EQIA):</w:t>
      </w:r>
    </w:p>
    <w:p w:rsidR="00AE564C" w:rsidRDefault="00407462">
      <w:pPr>
        <w:pStyle w:val="Standard"/>
        <w:jc w:val="center"/>
        <w:rPr>
          <w:b/>
          <w:sz w:val="40"/>
          <w:szCs w:val="40"/>
        </w:rPr>
      </w:pPr>
      <w:r>
        <w:rPr>
          <w:b/>
          <w:sz w:val="40"/>
          <w:szCs w:val="40"/>
        </w:rPr>
        <w:t>SCREENING FORM</w:t>
      </w:r>
    </w:p>
    <w:p w:rsidR="00AE564C" w:rsidRDefault="00AE564C">
      <w:pPr>
        <w:pStyle w:val="Standard"/>
        <w:widowControl/>
        <w:ind w:left="360"/>
        <w:jc w:val="both"/>
        <w:rPr>
          <w:sz w:val="22"/>
          <w:szCs w:val="22"/>
        </w:rPr>
      </w:pPr>
    </w:p>
    <w:p w:rsidR="00AE564C" w:rsidRDefault="00407462">
      <w:pPr>
        <w:pStyle w:val="Standard"/>
        <w:tabs>
          <w:tab w:val="left" w:pos="6422"/>
          <w:tab w:val="left" w:pos="11524"/>
          <w:tab w:val="left" w:pos="15636"/>
        </w:tabs>
        <w:ind w:left="360"/>
      </w:pPr>
      <w:r>
        <w:rPr>
          <w:b/>
          <w:sz w:val="36"/>
          <w:szCs w:val="36"/>
        </w:rPr>
        <w:t>1. IDENTIFY THE POLICY, PROJECT, SERVICE REFORM OR BUDGET OPTION</w:t>
      </w:r>
      <w:r>
        <w:rPr>
          <w:sz w:val="36"/>
          <w:szCs w:val="36"/>
        </w:rPr>
        <w:t>:</w:t>
      </w:r>
    </w:p>
    <w:p w:rsidR="00AE564C" w:rsidRDefault="00407462">
      <w:pPr>
        <w:pStyle w:val="Standard"/>
        <w:tabs>
          <w:tab w:val="left" w:pos="6062"/>
          <w:tab w:val="left" w:pos="11164"/>
          <w:tab w:val="left" w:pos="15276"/>
        </w:tabs>
        <w:rPr>
          <w:sz w:val="22"/>
          <w:szCs w:val="22"/>
        </w:rPr>
      </w:pPr>
      <w:r>
        <w:rPr>
          <w:sz w:val="22"/>
          <w:szCs w:val="22"/>
        </w:rPr>
        <w:t xml:space="preserve"> </w:t>
      </w:r>
    </w:p>
    <w:p w:rsidR="00AE564C" w:rsidRDefault="00407462">
      <w:pPr>
        <w:pStyle w:val="Standard"/>
        <w:numPr>
          <w:ilvl w:val="0"/>
          <w:numId w:val="6"/>
        </w:numPr>
        <w:tabs>
          <w:tab w:val="left" w:pos="2462"/>
          <w:tab w:val="left" w:pos="7564"/>
          <w:tab w:val="left" w:pos="11676"/>
        </w:tabs>
        <w:rPr>
          <w:sz w:val="22"/>
          <w:szCs w:val="22"/>
        </w:rPr>
      </w:pPr>
      <w:r>
        <w:rPr>
          <w:sz w:val="22"/>
          <w:szCs w:val="22"/>
        </w:rPr>
        <w:t>Name of the Policy, Project, Service Reform or Budget Option to be screened</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AE564C" w:rsidTr="00240246">
        <w:trPr>
          <w:trHeight w:val="1734"/>
        </w:trPr>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tabs>
                <w:tab w:val="left" w:pos="6062"/>
                <w:tab w:val="left" w:pos="11164"/>
                <w:tab w:val="left" w:pos="15276"/>
              </w:tabs>
              <w:rPr>
                <w:b/>
                <w:sz w:val="22"/>
                <w:szCs w:val="22"/>
              </w:rPr>
            </w:pPr>
            <w:r>
              <w:rPr>
                <w:b/>
                <w:sz w:val="22"/>
                <w:szCs w:val="22"/>
              </w:rPr>
              <w:t>Workplace Return Plans: Donald Dewar Leisure Centre Recovery Plan</w:t>
            </w:r>
          </w:p>
          <w:p w:rsidR="00AE564C" w:rsidRPr="00185EAC" w:rsidRDefault="00AE564C">
            <w:pPr>
              <w:pStyle w:val="Standard"/>
              <w:tabs>
                <w:tab w:val="left" w:pos="6062"/>
                <w:tab w:val="left" w:pos="11164"/>
                <w:tab w:val="left" w:pos="15276"/>
              </w:tabs>
              <w:rPr>
                <w:sz w:val="22"/>
                <w:szCs w:val="22"/>
              </w:rPr>
            </w:pPr>
          </w:p>
          <w:p w:rsidR="00AE564C" w:rsidRPr="00185EAC" w:rsidRDefault="00407462">
            <w:pPr>
              <w:pStyle w:val="Standard"/>
              <w:tabs>
                <w:tab w:val="left" w:pos="6062"/>
                <w:tab w:val="left" w:pos="11164"/>
                <w:tab w:val="left" w:pos="15276"/>
              </w:tabs>
            </w:pPr>
            <w:r>
              <w:rPr>
                <w:sz w:val="22"/>
                <w:szCs w:val="22"/>
              </w:rPr>
              <w:t>Re-opening of Glasgow Life Facilities in particular the Donald Dewar Sports Centre. Following the opening of the outdoor recreation facilities and in line with Scottish Government guidelines to further allow indoor sports and recreation to resume from the 14</w:t>
            </w:r>
            <w:r w:rsidR="00185EAC" w:rsidRPr="00185EAC">
              <w:rPr>
                <w:sz w:val="22"/>
                <w:szCs w:val="22"/>
                <w:vertAlign w:val="superscript"/>
              </w:rPr>
              <w:t>th</w:t>
            </w:r>
            <w:r>
              <w:rPr>
                <w:sz w:val="22"/>
                <w:szCs w:val="22"/>
              </w:rPr>
              <w:t xml:space="preserve"> September 2020. This date may change and be either brought forward or delayed. Updates on the re-opening of Glasgow  Life facilities can be found at: </w:t>
            </w:r>
            <w:hyperlink r:id="rId8" w:tooltip="Link to information on website" w:history="1">
              <w:r w:rsidR="00185EAC" w:rsidRPr="0099799F">
                <w:rPr>
                  <w:rStyle w:val="Hyperlink"/>
                  <w:sz w:val="22"/>
                  <w:szCs w:val="22"/>
                </w:rPr>
                <w:t>www.glasgowlife.org.uk/coronavirus-covid-19-latest-information</w:t>
              </w:r>
            </w:hyperlink>
          </w:p>
        </w:tc>
      </w:tr>
    </w:tbl>
    <w:p w:rsidR="00AE564C" w:rsidRDefault="00AE564C">
      <w:pPr>
        <w:pStyle w:val="Standard"/>
        <w:tabs>
          <w:tab w:val="left" w:pos="6062"/>
          <w:tab w:val="left" w:pos="11164"/>
          <w:tab w:val="left" w:pos="15276"/>
        </w:tabs>
        <w:rPr>
          <w:sz w:val="22"/>
          <w:szCs w:val="22"/>
        </w:rPr>
      </w:pPr>
    </w:p>
    <w:p w:rsidR="00AE564C" w:rsidRDefault="00407462">
      <w:pPr>
        <w:pStyle w:val="Standard"/>
        <w:numPr>
          <w:ilvl w:val="0"/>
          <w:numId w:val="2"/>
        </w:numPr>
        <w:tabs>
          <w:tab w:val="left" w:pos="2462"/>
          <w:tab w:val="left" w:pos="7564"/>
          <w:tab w:val="left" w:pos="11676"/>
        </w:tabs>
        <w:rPr>
          <w:sz w:val="22"/>
          <w:szCs w:val="22"/>
        </w:rPr>
      </w:pPr>
      <w:r>
        <w:rPr>
          <w:sz w:val="22"/>
          <w:szCs w:val="22"/>
        </w:rPr>
        <w:t xml:space="preserve">Reason for Change in Policy or Policy Development  </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AE564C" w:rsidTr="00185EAC">
        <w:trPr>
          <w:trHeight w:val="865"/>
        </w:trPr>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tabs>
                <w:tab w:val="left" w:pos="6062"/>
                <w:tab w:val="left" w:pos="11164"/>
                <w:tab w:val="left" w:pos="15276"/>
              </w:tabs>
              <w:rPr>
                <w:sz w:val="22"/>
                <w:szCs w:val="22"/>
              </w:rPr>
            </w:pPr>
            <w:r>
              <w:rPr>
                <w:sz w:val="22"/>
                <w:szCs w:val="22"/>
              </w:rPr>
              <w:t xml:space="preserve">The easing of rules relating to lockdown due to the COVID 19 epidemic in Scotland with the Scottish Government allowing sport to resume and indoor leisure facilities and outdoor sports facilities to re-open with public health restrictions remaining in place.  Glasgow Life aim to introduce the opening of further indoor and outdoor facilities’ as safety measures and operations are put in place.  </w:t>
            </w:r>
          </w:p>
        </w:tc>
      </w:tr>
    </w:tbl>
    <w:p w:rsidR="00AE564C" w:rsidRDefault="00AE564C">
      <w:pPr>
        <w:pStyle w:val="Standard"/>
        <w:tabs>
          <w:tab w:val="left" w:pos="6062"/>
          <w:tab w:val="left" w:pos="11164"/>
          <w:tab w:val="left" w:pos="15276"/>
        </w:tabs>
        <w:rPr>
          <w:sz w:val="22"/>
          <w:szCs w:val="22"/>
        </w:rPr>
      </w:pPr>
    </w:p>
    <w:p w:rsidR="00AE564C" w:rsidRDefault="00407462">
      <w:pPr>
        <w:pStyle w:val="Standard"/>
        <w:numPr>
          <w:ilvl w:val="0"/>
          <w:numId w:val="2"/>
        </w:numPr>
        <w:tabs>
          <w:tab w:val="left" w:pos="2462"/>
          <w:tab w:val="left" w:pos="7564"/>
          <w:tab w:val="left" w:pos="11676"/>
        </w:tabs>
        <w:rPr>
          <w:sz w:val="22"/>
          <w:szCs w:val="22"/>
        </w:rPr>
      </w:pPr>
      <w:r>
        <w:rPr>
          <w:sz w:val="22"/>
          <w:szCs w:val="22"/>
        </w:rPr>
        <w:t>List main outcome focus and supporting activities of the Policy, Project, Service Reform or Budget Option</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AE564C">
        <w:trPr>
          <w:trHeight w:val="1111"/>
        </w:trPr>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tabs>
                <w:tab w:val="left" w:pos="6062"/>
                <w:tab w:val="left" w:pos="11164"/>
                <w:tab w:val="left" w:pos="15276"/>
              </w:tabs>
              <w:rPr>
                <w:sz w:val="22"/>
                <w:szCs w:val="22"/>
              </w:rPr>
            </w:pPr>
            <w:r>
              <w:rPr>
                <w:sz w:val="22"/>
                <w:szCs w:val="22"/>
              </w:rPr>
              <w:t>Donald Dewar will re-open with social distancing protocols initially to facilitate the training of outdoor football clubs and there will be public access to a wide range of fitness activities such as, fitness classes, gym access and some other activities in line with Scottish Government guidance.</w:t>
            </w:r>
          </w:p>
          <w:p w:rsidR="00AE564C" w:rsidRDefault="00407462">
            <w:pPr>
              <w:pStyle w:val="Standard"/>
              <w:tabs>
                <w:tab w:val="left" w:pos="6062"/>
                <w:tab w:val="left" w:pos="11164"/>
                <w:tab w:val="left" w:pos="15276"/>
              </w:tabs>
              <w:rPr>
                <w:sz w:val="22"/>
                <w:szCs w:val="22"/>
              </w:rPr>
            </w:pPr>
            <w:r>
              <w:rPr>
                <w:sz w:val="22"/>
                <w:szCs w:val="22"/>
              </w:rPr>
              <w:t>Health and sanitary measures will be in operation.</w:t>
            </w:r>
          </w:p>
          <w:p w:rsidR="00AE564C" w:rsidRDefault="00407462">
            <w:pPr>
              <w:pStyle w:val="Standard"/>
              <w:tabs>
                <w:tab w:val="left" w:pos="6062"/>
                <w:tab w:val="left" w:pos="11164"/>
                <w:tab w:val="left" w:pos="15276"/>
              </w:tabs>
              <w:rPr>
                <w:sz w:val="22"/>
                <w:szCs w:val="22"/>
              </w:rPr>
            </w:pPr>
            <w:r>
              <w:rPr>
                <w:sz w:val="22"/>
                <w:szCs w:val="22"/>
              </w:rPr>
              <w:t xml:space="preserve">No access will be provided to indoor ancillary facilities such as changing rooms at this stage.  </w:t>
            </w:r>
          </w:p>
        </w:tc>
      </w:tr>
    </w:tbl>
    <w:p w:rsidR="00AE564C" w:rsidRDefault="00AE564C">
      <w:pPr>
        <w:pStyle w:val="Standard"/>
        <w:tabs>
          <w:tab w:val="left" w:pos="6062"/>
          <w:tab w:val="left" w:pos="11164"/>
          <w:tab w:val="left" w:pos="15276"/>
        </w:tabs>
        <w:rPr>
          <w:sz w:val="22"/>
          <w:szCs w:val="22"/>
        </w:rPr>
      </w:pPr>
    </w:p>
    <w:p w:rsidR="00AE564C" w:rsidRDefault="00407462">
      <w:pPr>
        <w:pStyle w:val="Standard"/>
        <w:numPr>
          <w:ilvl w:val="0"/>
          <w:numId w:val="2"/>
        </w:numPr>
        <w:tabs>
          <w:tab w:val="left" w:pos="2462"/>
          <w:tab w:val="left" w:pos="7564"/>
          <w:tab w:val="left" w:pos="11676"/>
        </w:tabs>
        <w:rPr>
          <w:sz w:val="22"/>
          <w:szCs w:val="22"/>
        </w:rPr>
      </w:pPr>
      <w:r>
        <w:rPr>
          <w:sz w:val="22"/>
          <w:szCs w:val="22"/>
        </w:rPr>
        <w:t>Name of officer completing assessment  (signed and date)</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AE564C">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tabs>
                <w:tab w:val="left" w:pos="6062"/>
                <w:tab w:val="left" w:pos="11164"/>
                <w:tab w:val="left" w:pos="15276"/>
              </w:tabs>
              <w:rPr>
                <w:sz w:val="22"/>
                <w:szCs w:val="22"/>
              </w:rPr>
            </w:pPr>
            <w:r>
              <w:rPr>
                <w:sz w:val="22"/>
                <w:szCs w:val="22"/>
              </w:rPr>
              <w:t>Chris Wilson  11/08/2020</w:t>
            </w:r>
          </w:p>
          <w:p w:rsidR="00AE564C" w:rsidRDefault="00AE564C">
            <w:pPr>
              <w:pStyle w:val="Standard"/>
              <w:tabs>
                <w:tab w:val="left" w:pos="6062"/>
                <w:tab w:val="left" w:pos="11164"/>
                <w:tab w:val="left" w:pos="15276"/>
              </w:tabs>
              <w:rPr>
                <w:sz w:val="22"/>
                <w:szCs w:val="22"/>
              </w:rPr>
            </w:pPr>
          </w:p>
        </w:tc>
      </w:tr>
    </w:tbl>
    <w:p w:rsidR="00AE564C" w:rsidRDefault="00AE564C">
      <w:pPr>
        <w:pStyle w:val="Standard"/>
        <w:tabs>
          <w:tab w:val="left" w:pos="6782"/>
          <w:tab w:val="left" w:pos="11884"/>
          <w:tab w:val="left" w:pos="15996"/>
        </w:tabs>
        <w:ind w:left="720"/>
        <w:rPr>
          <w:sz w:val="22"/>
          <w:szCs w:val="22"/>
        </w:rPr>
      </w:pPr>
    </w:p>
    <w:p w:rsidR="00AE564C" w:rsidRDefault="00407462">
      <w:pPr>
        <w:pStyle w:val="Standard"/>
        <w:numPr>
          <w:ilvl w:val="0"/>
          <w:numId w:val="2"/>
        </w:numPr>
        <w:tabs>
          <w:tab w:val="left" w:pos="2462"/>
          <w:tab w:val="left" w:pos="7564"/>
          <w:tab w:val="left" w:pos="11676"/>
        </w:tabs>
        <w:rPr>
          <w:sz w:val="22"/>
          <w:szCs w:val="22"/>
        </w:rPr>
      </w:pPr>
      <w:r>
        <w:rPr>
          <w:sz w:val="22"/>
          <w:szCs w:val="22"/>
        </w:rPr>
        <w:t>Assessment Verified by (signed and date)</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AE564C">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tabs>
                <w:tab w:val="left" w:pos="6062"/>
                <w:tab w:val="left" w:pos="11164"/>
                <w:tab w:val="left" w:pos="15276"/>
              </w:tabs>
              <w:rPr>
                <w:sz w:val="22"/>
                <w:szCs w:val="22"/>
              </w:rPr>
            </w:pPr>
            <w:r>
              <w:rPr>
                <w:sz w:val="22"/>
                <w:szCs w:val="22"/>
              </w:rPr>
              <w:t>Jonathan Shaw 11/09/20</w:t>
            </w:r>
          </w:p>
          <w:p w:rsidR="00AE564C" w:rsidRDefault="00AE564C">
            <w:pPr>
              <w:pStyle w:val="Standard"/>
              <w:tabs>
                <w:tab w:val="left" w:pos="6062"/>
                <w:tab w:val="left" w:pos="11164"/>
                <w:tab w:val="left" w:pos="15276"/>
              </w:tabs>
              <w:rPr>
                <w:sz w:val="22"/>
                <w:szCs w:val="22"/>
              </w:rPr>
            </w:pPr>
          </w:p>
        </w:tc>
      </w:tr>
    </w:tbl>
    <w:p w:rsidR="00C57BFF" w:rsidRDefault="00C57BFF">
      <w:pPr>
        <w:rPr>
          <w:rFonts w:cs="Mangal"/>
          <w:szCs w:val="21"/>
        </w:rPr>
        <w:sectPr w:rsidR="00C57BFF">
          <w:headerReference w:type="default" r:id="rId9"/>
          <w:footerReference w:type="default" r:id="rId10"/>
          <w:pgSz w:w="16838" w:h="11906"/>
          <w:pgMar w:top="1135" w:right="851" w:bottom="851" w:left="1440" w:header="720" w:footer="720" w:gutter="0"/>
          <w:pgNumType w:start="1"/>
          <w:cols w:space="720"/>
        </w:sectPr>
      </w:pPr>
    </w:p>
    <w:p w:rsidR="00AE564C" w:rsidRPr="00185EAC" w:rsidRDefault="00AE564C">
      <w:pPr>
        <w:pStyle w:val="Heading1"/>
        <w:numPr>
          <w:ilvl w:val="0"/>
          <w:numId w:val="7"/>
        </w:numPr>
        <w:tabs>
          <w:tab w:val="left" w:pos="360"/>
        </w:tabs>
        <w:ind w:left="360"/>
        <w:rPr>
          <w:sz w:val="10"/>
          <w:szCs w:val="10"/>
        </w:rPr>
      </w:pPr>
    </w:p>
    <w:p w:rsidR="00AE564C" w:rsidRDefault="00407462">
      <w:pPr>
        <w:pStyle w:val="Heading1"/>
        <w:numPr>
          <w:ilvl w:val="0"/>
          <w:numId w:val="8"/>
        </w:numPr>
        <w:rPr>
          <w:sz w:val="36"/>
          <w:szCs w:val="36"/>
        </w:rPr>
      </w:pPr>
      <w:r>
        <w:rPr>
          <w:sz w:val="36"/>
          <w:szCs w:val="36"/>
        </w:rPr>
        <w:t>GATHERING EVIDENCE &amp; STAKEHOLDER ENGAGEMENT</w:t>
      </w:r>
    </w:p>
    <w:p w:rsidR="00AE564C" w:rsidRDefault="00AE564C">
      <w:pPr>
        <w:pStyle w:val="Standard"/>
        <w:rPr>
          <w:sz w:val="22"/>
          <w:szCs w:val="22"/>
        </w:rPr>
      </w:pPr>
    </w:p>
    <w:p w:rsidR="00AE564C" w:rsidRDefault="00407462">
      <w:pPr>
        <w:pStyle w:val="Standard"/>
        <w:ind w:left="360"/>
        <w:rPr>
          <w:sz w:val="22"/>
          <w:szCs w:val="22"/>
        </w:rPr>
      </w:pPr>
      <w:r>
        <w:rPr>
          <w:sz w:val="22"/>
          <w:szCs w:val="22"/>
        </w:rPr>
        <w:t>The best approach to find out if a policy, etc is likely to impact positively or negatively on equality groups is to look at existing research, previous consultation recommendations, studies or consult with representatives of those groups.  You should list below any data, consultations (previous relevant or future planned), or any relevant research or analysis that supports the Policy, Project, Service Reform or Budget Option being undertaken.</w:t>
      </w:r>
    </w:p>
    <w:p w:rsidR="00AE564C" w:rsidRDefault="00AE564C">
      <w:pPr>
        <w:pStyle w:val="Standard"/>
        <w:rPr>
          <w:sz w:val="22"/>
          <w:szCs w:val="22"/>
        </w:rPr>
      </w:pPr>
    </w:p>
    <w:tbl>
      <w:tblPr>
        <w:tblW w:w="14600" w:type="dxa"/>
        <w:tblInd w:w="421" w:type="dxa"/>
        <w:tblLayout w:type="fixed"/>
        <w:tblCellMar>
          <w:left w:w="10" w:type="dxa"/>
          <w:right w:w="10" w:type="dxa"/>
        </w:tblCellMar>
        <w:tblLook w:val="0000" w:firstRow="0" w:lastRow="0" w:firstColumn="0" w:lastColumn="0" w:noHBand="0" w:noVBand="0"/>
      </w:tblPr>
      <w:tblGrid>
        <w:gridCol w:w="5441"/>
        <w:gridCol w:w="4393"/>
        <w:gridCol w:w="4766"/>
      </w:tblGrid>
      <w:tr w:rsidR="00AE564C" w:rsidTr="00185EAC">
        <w:tc>
          <w:tcPr>
            <w:tcW w:w="5441"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AE564C" w:rsidRPr="00185EAC" w:rsidRDefault="00AE564C">
            <w:pPr>
              <w:pStyle w:val="Standard"/>
              <w:rPr>
                <w:b/>
                <w:sz w:val="8"/>
                <w:szCs w:val="8"/>
              </w:rPr>
            </w:pPr>
          </w:p>
          <w:p w:rsidR="00AE564C" w:rsidRDefault="00407462">
            <w:pPr>
              <w:pStyle w:val="Standard"/>
              <w:rPr>
                <w:sz w:val="22"/>
                <w:szCs w:val="22"/>
              </w:rPr>
            </w:pPr>
            <w:r>
              <w:rPr>
                <w:sz w:val="22"/>
                <w:szCs w:val="22"/>
              </w:rPr>
              <w:t>Please name any research, data, consultation or studies referred to for this assessment:</w:t>
            </w:r>
          </w:p>
        </w:tc>
        <w:tc>
          <w:tcPr>
            <w:tcW w:w="4393"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AE564C" w:rsidRPr="00185EAC" w:rsidRDefault="00AE564C">
            <w:pPr>
              <w:pStyle w:val="Standard"/>
              <w:rPr>
                <w:sz w:val="8"/>
                <w:szCs w:val="8"/>
              </w:rPr>
            </w:pPr>
          </w:p>
          <w:p w:rsidR="00AE564C" w:rsidRDefault="00407462">
            <w:pPr>
              <w:pStyle w:val="Standard"/>
            </w:pPr>
            <w:r>
              <w:rPr>
                <w:sz w:val="22"/>
                <w:szCs w:val="22"/>
              </w:rPr>
              <w:t>Please state if this reference refers to one or more of the protected characteristics</w:t>
            </w:r>
            <w:r>
              <w:t>:</w:t>
            </w:r>
          </w:p>
          <w:p w:rsidR="00AE564C" w:rsidRDefault="00AE564C">
            <w:pPr>
              <w:pStyle w:val="Standard"/>
            </w:pPr>
          </w:p>
          <w:p w:rsidR="00AE564C" w:rsidRDefault="00407462">
            <w:pPr>
              <w:pStyle w:val="Standard"/>
              <w:numPr>
                <w:ilvl w:val="0"/>
                <w:numId w:val="9"/>
              </w:numPr>
              <w:rPr>
                <w:sz w:val="22"/>
                <w:szCs w:val="22"/>
              </w:rPr>
            </w:pPr>
            <w:r>
              <w:rPr>
                <w:sz w:val="22"/>
                <w:szCs w:val="22"/>
              </w:rPr>
              <w:t>age</w:t>
            </w:r>
          </w:p>
          <w:p w:rsidR="00AE564C" w:rsidRDefault="00407462">
            <w:pPr>
              <w:pStyle w:val="Standard"/>
              <w:numPr>
                <w:ilvl w:val="0"/>
                <w:numId w:val="5"/>
              </w:numPr>
              <w:rPr>
                <w:sz w:val="22"/>
                <w:szCs w:val="22"/>
              </w:rPr>
            </w:pPr>
            <w:r>
              <w:rPr>
                <w:sz w:val="22"/>
                <w:szCs w:val="22"/>
              </w:rPr>
              <w:t>disability,</w:t>
            </w:r>
          </w:p>
          <w:p w:rsidR="00AE564C" w:rsidRDefault="00407462">
            <w:pPr>
              <w:pStyle w:val="Standard"/>
              <w:numPr>
                <w:ilvl w:val="0"/>
                <w:numId w:val="5"/>
              </w:numPr>
              <w:rPr>
                <w:sz w:val="22"/>
                <w:szCs w:val="22"/>
              </w:rPr>
            </w:pPr>
            <w:r>
              <w:rPr>
                <w:sz w:val="22"/>
                <w:szCs w:val="22"/>
              </w:rPr>
              <w:t>race and/or ethnicity,</w:t>
            </w:r>
          </w:p>
          <w:p w:rsidR="00AE564C" w:rsidRDefault="00407462">
            <w:pPr>
              <w:pStyle w:val="Standard"/>
              <w:numPr>
                <w:ilvl w:val="0"/>
                <w:numId w:val="5"/>
              </w:numPr>
              <w:rPr>
                <w:sz w:val="22"/>
                <w:szCs w:val="22"/>
              </w:rPr>
            </w:pPr>
            <w:r>
              <w:rPr>
                <w:sz w:val="22"/>
                <w:szCs w:val="22"/>
              </w:rPr>
              <w:t>religion or belief (including lack of belief),</w:t>
            </w:r>
          </w:p>
          <w:p w:rsidR="00AE564C" w:rsidRDefault="00407462">
            <w:pPr>
              <w:pStyle w:val="Standard"/>
              <w:numPr>
                <w:ilvl w:val="0"/>
                <w:numId w:val="5"/>
              </w:numPr>
              <w:rPr>
                <w:sz w:val="22"/>
                <w:szCs w:val="22"/>
              </w:rPr>
            </w:pPr>
            <w:r>
              <w:rPr>
                <w:sz w:val="22"/>
                <w:szCs w:val="22"/>
              </w:rPr>
              <w:t>gender,</w:t>
            </w:r>
          </w:p>
          <w:p w:rsidR="00AE564C" w:rsidRDefault="00407462">
            <w:pPr>
              <w:pStyle w:val="Standard"/>
              <w:numPr>
                <w:ilvl w:val="0"/>
                <w:numId w:val="5"/>
              </w:numPr>
              <w:rPr>
                <w:sz w:val="22"/>
                <w:szCs w:val="22"/>
              </w:rPr>
            </w:pPr>
            <w:r>
              <w:rPr>
                <w:sz w:val="22"/>
                <w:szCs w:val="22"/>
              </w:rPr>
              <w:t>gender reassignment,</w:t>
            </w:r>
          </w:p>
          <w:p w:rsidR="00AE564C" w:rsidRDefault="00407462">
            <w:pPr>
              <w:pStyle w:val="Standard"/>
              <w:numPr>
                <w:ilvl w:val="0"/>
                <w:numId w:val="5"/>
              </w:numPr>
              <w:rPr>
                <w:sz w:val="22"/>
                <w:szCs w:val="22"/>
              </w:rPr>
            </w:pPr>
            <w:r>
              <w:rPr>
                <w:sz w:val="22"/>
                <w:szCs w:val="22"/>
              </w:rPr>
              <w:t>sexual orientation</w:t>
            </w:r>
          </w:p>
          <w:p w:rsidR="00AE564C" w:rsidRDefault="00407462">
            <w:pPr>
              <w:pStyle w:val="Standard"/>
              <w:numPr>
                <w:ilvl w:val="0"/>
                <w:numId w:val="5"/>
              </w:numPr>
              <w:rPr>
                <w:sz w:val="22"/>
                <w:szCs w:val="22"/>
              </w:rPr>
            </w:pPr>
            <w:r>
              <w:rPr>
                <w:sz w:val="22"/>
                <w:szCs w:val="22"/>
              </w:rPr>
              <w:t>marriage and civil partnership,</w:t>
            </w:r>
          </w:p>
          <w:p w:rsidR="00AE564C" w:rsidRDefault="00407462">
            <w:pPr>
              <w:pStyle w:val="Standard"/>
              <w:numPr>
                <w:ilvl w:val="0"/>
                <w:numId w:val="5"/>
              </w:numPr>
              <w:rPr>
                <w:sz w:val="22"/>
                <w:szCs w:val="22"/>
              </w:rPr>
            </w:pPr>
            <w:r>
              <w:rPr>
                <w:sz w:val="22"/>
                <w:szCs w:val="22"/>
              </w:rPr>
              <w:t>pregnancy and maternity,</w:t>
            </w:r>
          </w:p>
          <w:p w:rsidR="00AE564C" w:rsidRDefault="00AE564C">
            <w:pPr>
              <w:pStyle w:val="Standard"/>
              <w:ind w:left="720"/>
            </w:pPr>
          </w:p>
        </w:tc>
        <w:tc>
          <w:tcPr>
            <w:tcW w:w="4766"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AE564C" w:rsidRPr="00185EAC" w:rsidRDefault="00AE564C">
            <w:pPr>
              <w:pStyle w:val="Standard"/>
              <w:rPr>
                <w:sz w:val="8"/>
                <w:szCs w:val="8"/>
              </w:rPr>
            </w:pPr>
          </w:p>
          <w:p w:rsidR="00AE564C" w:rsidRDefault="00407462">
            <w:pPr>
              <w:pStyle w:val="Standard"/>
              <w:rPr>
                <w:sz w:val="22"/>
                <w:szCs w:val="22"/>
              </w:rPr>
            </w:pPr>
            <w:r>
              <w:rPr>
                <w:sz w:val="22"/>
                <w:szCs w:val="22"/>
              </w:rPr>
              <w:t>Do you intend to set up your own consultation?  If so, please list the main issues that you wish to address if the consultation is planned; or if consultation has been completed, please note the outcome(s) of consultation.</w:t>
            </w:r>
          </w:p>
          <w:p w:rsidR="00AE564C" w:rsidRDefault="00AE564C">
            <w:pPr>
              <w:pStyle w:val="Standard"/>
              <w:rPr>
                <w:sz w:val="22"/>
                <w:szCs w:val="22"/>
              </w:rPr>
            </w:pPr>
          </w:p>
        </w:tc>
      </w:tr>
      <w:tr w:rsidR="00AE564C" w:rsidTr="00185EA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Scottish Government directive on lockdown measures 22/6/20.</w:t>
            </w:r>
          </w:p>
          <w:p w:rsidR="00AE564C" w:rsidRDefault="00407462">
            <w:pPr>
              <w:pStyle w:val="Standard"/>
              <w:numPr>
                <w:ilvl w:val="0"/>
                <w:numId w:val="10"/>
              </w:numPr>
              <w:rPr>
                <w:sz w:val="22"/>
                <w:szCs w:val="22"/>
              </w:rPr>
            </w:pPr>
            <w:r>
              <w:rPr>
                <w:sz w:val="22"/>
                <w:szCs w:val="22"/>
              </w:rPr>
              <w:t>GCC social distancing in the workplace guidance</w:t>
            </w:r>
          </w:p>
          <w:p w:rsidR="00AE564C" w:rsidRDefault="00407462">
            <w:pPr>
              <w:pStyle w:val="Standard"/>
              <w:numPr>
                <w:ilvl w:val="0"/>
                <w:numId w:val="1"/>
              </w:numPr>
              <w:rPr>
                <w:sz w:val="22"/>
                <w:szCs w:val="22"/>
              </w:rPr>
            </w:pPr>
            <w:r>
              <w:rPr>
                <w:sz w:val="22"/>
                <w:szCs w:val="22"/>
              </w:rPr>
              <w:t>Discussions with Trade Unions</w:t>
            </w:r>
          </w:p>
          <w:p w:rsidR="00AE564C" w:rsidRDefault="00407462">
            <w:pPr>
              <w:pStyle w:val="Standard"/>
              <w:numPr>
                <w:ilvl w:val="0"/>
                <w:numId w:val="1"/>
              </w:numPr>
              <w:rPr>
                <w:sz w:val="22"/>
                <w:szCs w:val="22"/>
              </w:rPr>
            </w:pPr>
            <w:r>
              <w:rPr>
                <w:sz w:val="22"/>
                <w:szCs w:val="22"/>
              </w:rPr>
              <w:t>Scottish and UK Government guidance</w:t>
            </w:r>
          </w:p>
          <w:p w:rsidR="00AE564C" w:rsidRDefault="00AE564C">
            <w:pPr>
              <w:pStyle w:val="Standard"/>
              <w:rPr>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pPr>
            <w:r>
              <w:rPr>
                <w:sz w:val="22"/>
                <w:szCs w:val="22"/>
              </w:rPr>
              <w:t xml:space="preserve">No </w:t>
            </w:r>
            <w:r w:rsidRPr="00185EAC">
              <w:rPr>
                <w:sz w:val="22"/>
                <w:szCs w:val="22"/>
              </w:rPr>
              <w:t xml:space="preserve">– </w:t>
            </w:r>
            <w:r>
              <w:rPr>
                <w:sz w:val="22"/>
                <w:szCs w:val="22"/>
              </w:rPr>
              <w:t>however there may be opportunity to slightly alter the operational protocols (within Scottish Government guidelines) in response to customer feedback once open.</w:t>
            </w:r>
          </w:p>
          <w:p w:rsidR="00AE564C" w:rsidRDefault="00AE564C">
            <w:pPr>
              <w:pStyle w:val="Standard"/>
              <w:rPr>
                <w:sz w:val="22"/>
                <w:szCs w:val="22"/>
              </w:rPr>
            </w:pPr>
          </w:p>
          <w:p w:rsidR="00AE564C" w:rsidRDefault="00407462">
            <w:pPr>
              <w:pStyle w:val="Standard"/>
              <w:rPr>
                <w:sz w:val="22"/>
                <w:szCs w:val="22"/>
              </w:rPr>
            </w:pPr>
            <w:r>
              <w:rPr>
                <w:sz w:val="22"/>
                <w:szCs w:val="22"/>
              </w:rPr>
              <w:t>There will be internal consultation on the re-opening strategy in addition to a review of external available guidance. This will be used to update the strategy with details of best practice and information from public health authorities.</w:t>
            </w:r>
          </w:p>
          <w:p w:rsidR="00AE564C" w:rsidRPr="00185EAC" w:rsidRDefault="00AE564C">
            <w:pPr>
              <w:pStyle w:val="Standard"/>
              <w:rPr>
                <w:sz w:val="16"/>
                <w:szCs w:val="16"/>
              </w:rPr>
            </w:pPr>
          </w:p>
        </w:tc>
      </w:tr>
      <w:tr w:rsidR="00AE564C" w:rsidTr="00185EA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Scottish Government directive on lockdown measures 29/6/20 in particular the access to outdoor court facilities.</w:t>
            </w:r>
          </w:p>
          <w:p w:rsidR="00AE564C" w:rsidRPr="00185EAC" w:rsidRDefault="00AE564C">
            <w:pPr>
              <w:pStyle w:val="Standard"/>
              <w:rPr>
                <w:sz w:val="16"/>
                <w:szCs w:val="16"/>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AE564C">
            <w:pPr>
              <w:pStyle w:val="Standard"/>
              <w:rPr>
                <w:sz w:val="22"/>
                <w:szCs w:val="22"/>
              </w:rPr>
            </w:pPr>
          </w:p>
        </w:tc>
      </w:tr>
      <w:tr w:rsidR="00AE564C" w:rsidTr="00185EA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lastRenderedPageBreak/>
              <w:t>Scottish Government directive to ease lockdown measures further to allow indoor gym facilities to open</w:t>
            </w:r>
          </w:p>
          <w:p w:rsidR="00AE564C" w:rsidRDefault="00AE564C">
            <w:pPr>
              <w:pStyle w:val="Standard"/>
              <w:rPr>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AE564C">
            <w:pPr>
              <w:pStyle w:val="Standard"/>
              <w:rPr>
                <w:sz w:val="22"/>
                <w:szCs w:val="22"/>
              </w:rPr>
            </w:pPr>
          </w:p>
        </w:tc>
      </w:tr>
      <w:tr w:rsidR="00AE564C" w:rsidTr="00185EA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 xml:space="preserve">Cushman and Wakefield’s “Recovery Readiness: A How-To Guide for Reopening Your Workplace”,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AE564C">
            <w:pPr>
              <w:pStyle w:val="Standard"/>
              <w:rPr>
                <w:sz w:val="22"/>
                <w:szCs w:val="22"/>
              </w:rPr>
            </w:pPr>
          </w:p>
        </w:tc>
      </w:tr>
      <w:tr w:rsidR="00AE564C" w:rsidTr="00185EA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Knight Frank’s “COVID-19 Office Re-Occupancy Roadmap</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AE564C">
            <w:pPr>
              <w:pStyle w:val="Standard"/>
              <w:rPr>
                <w:sz w:val="22"/>
                <w:szCs w:val="22"/>
              </w:rPr>
            </w:pPr>
          </w:p>
        </w:tc>
      </w:tr>
      <w:tr w:rsidR="00AE564C" w:rsidTr="00185EA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BOMA International’s Guidance Document “Getting Back to Work: Preparing Buildings for Re-Entry amid Covid-19</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AE564C">
            <w:pPr>
              <w:pStyle w:val="Standard"/>
              <w:rPr>
                <w:sz w:val="22"/>
                <w:szCs w:val="22"/>
              </w:rPr>
            </w:pPr>
          </w:p>
        </w:tc>
      </w:tr>
      <w:tr w:rsidR="00AE564C" w:rsidTr="00185EA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The World Health Organization (WHO), national health organisations, and UK and Scottish Governments are the primary sources for guidance on COVID-19 and other health-related issues and will act as the central point of guidance out with this document.</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AE564C">
            <w:pPr>
              <w:pStyle w:val="Standard"/>
              <w:rPr>
                <w:sz w:val="22"/>
                <w:szCs w:val="22"/>
              </w:rPr>
            </w:pPr>
          </w:p>
        </w:tc>
      </w:tr>
    </w:tbl>
    <w:p w:rsidR="00C57BFF" w:rsidRDefault="00C57BFF">
      <w:pPr>
        <w:rPr>
          <w:rFonts w:cs="Mangal"/>
          <w:szCs w:val="21"/>
        </w:rPr>
        <w:sectPr w:rsidR="00C57BFF">
          <w:headerReference w:type="default" r:id="rId11"/>
          <w:footerReference w:type="default" r:id="rId12"/>
          <w:pgSz w:w="16838" w:h="11906"/>
          <w:pgMar w:top="851" w:right="998" w:bottom="1135" w:left="851" w:header="720" w:footer="720" w:gutter="0"/>
          <w:cols w:space="720"/>
        </w:sectPr>
      </w:pPr>
    </w:p>
    <w:p w:rsidR="00AE564C" w:rsidRDefault="00407462">
      <w:pPr>
        <w:pStyle w:val="Heading1"/>
        <w:numPr>
          <w:ilvl w:val="0"/>
          <w:numId w:val="3"/>
        </w:numPr>
        <w:rPr>
          <w:sz w:val="36"/>
          <w:szCs w:val="36"/>
        </w:rPr>
      </w:pPr>
      <w:r>
        <w:rPr>
          <w:sz w:val="36"/>
          <w:szCs w:val="36"/>
        </w:rPr>
        <w:lastRenderedPageBreak/>
        <w:t>ASSESSMENT &amp; DIFFERENTIAL IMPACTS</w:t>
      </w:r>
    </w:p>
    <w:p w:rsidR="00AE564C" w:rsidRDefault="00AE564C">
      <w:pPr>
        <w:pStyle w:val="Standard"/>
        <w:ind w:left="360"/>
        <w:rPr>
          <w:sz w:val="22"/>
          <w:szCs w:val="22"/>
        </w:rPr>
      </w:pPr>
    </w:p>
    <w:p w:rsidR="00AE564C" w:rsidRDefault="00407462">
      <w:pPr>
        <w:pStyle w:val="Standard"/>
        <w:ind w:left="360"/>
      </w:pPr>
      <w:r>
        <w:rPr>
          <w:sz w:val="22"/>
          <w:szCs w:val="22"/>
        </w:rPr>
        <w:t xml:space="preserve">Use the table below to provide some </w:t>
      </w:r>
      <w:r>
        <w:rPr>
          <w:b/>
          <w:sz w:val="22"/>
          <w:szCs w:val="22"/>
        </w:rPr>
        <w:t>narrative</w:t>
      </w:r>
      <w:r>
        <w:rPr>
          <w:sz w:val="22"/>
          <w:szCs w:val="22"/>
        </w:rPr>
        <w:t xml:space="preserve"> where you think the </w:t>
      </w:r>
      <w:r>
        <w:rPr>
          <w:b/>
          <w:sz w:val="22"/>
          <w:szCs w:val="22"/>
        </w:rPr>
        <w:t xml:space="preserve">Policy, Project, Service Reform or Budget Option </w:t>
      </w:r>
      <w:r>
        <w:rPr>
          <w:sz w:val="22"/>
          <w:szCs w:val="22"/>
        </w:rPr>
        <w:t>has either a positive impact (contributes to promoting equality or improving relations within an equality group) or a negative impact (could disadvantage them) and note the reason for the change in policy or the reason for policy development, based on the evidence you have collated.</w:t>
      </w:r>
    </w:p>
    <w:tbl>
      <w:tblPr>
        <w:tblW w:w="15304" w:type="dxa"/>
        <w:tblLayout w:type="fixed"/>
        <w:tblCellMar>
          <w:left w:w="10" w:type="dxa"/>
          <w:right w:w="10" w:type="dxa"/>
        </w:tblCellMar>
        <w:tblLook w:val="0000" w:firstRow="0" w:lastRow="0" w:firstColumn="0" w:lastColumn="0" w:noHBand="0" w:noVBand="0"/>
      </w:tblPr>
      <w:tblGrid>
        <w:gridCol w:w="2088"/>
        <w:gridCol w:w="2222"/>
        <w:gridCol w:w="2348"/>
        <w:gridCol w:w="4252"/>
        <w:gridCol w:w="4394"/>
      </w:tblGrid>
      <w:tr w:rsidR="00AE564C" w:rsidTr="00240246">
        <w:tc>
          <w:tcPr>
            <w:tcW w:w="20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AE564C" w:rsidRDefault="00AE564C">
            <w:pPr>
              <w:pStyle w:val="Standard"/>
              <w:jc w:val="both"/>
              <w:rPr>
                <w:b/>
                <w:sz w:val="22"/>
                <w:szCs w:val="22"/>
              </w:rPr>
            </w:pPr>
          </w:p>
          <w:p w:rsidR="00AE564C" w:rsidRDefault="00407462">
            <w:pPr>
              <w:pStyle w:val="Standard"/>
              <w:jc w:val="both"/>
              <w:rPr>
                <w:b/>
                <w:sz w:val="22"/>
                <w:szCs w:val="22"/>
              </w:rPr>
            </w:pPr>
            <w:r>
              <w:rPr>
                <w:b/>
                <w:sz w:val="22"/>
                <w:szCs w:val="22"/>
              </w:rPr>
              <w:t>Protected Characteristic</w:t>
            </w:r>
          </w:p>
        </w:tc>
        <w:tc>
          <w:tcPr>
            <w:tcW w:w="222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AE564C" w:rsidRDefault="00AE564C">
            <w:pPr>
              <w:pStyle w:val="Standard"/>
              <w:rPr>
                <w:b/>
                <w:sz w:val="22"/>
                <w:szCs w:val="22"/>
              </w:rPr>
            </w:pPr>
          </w:p>
          <w:p w:rsidR="00AE564C" w:rsidRDefault="00407462">
            <w:pPr>
              <w:pStyle w:val="Standard"/>
              <w:rPr>
                <w:b/>
                <w:sz w:val="22"/>
                <w:szCs w:val="22"/>
              </w:rPr>
            </w:pPr>
            <w:r>
              <w:rPr>
                <w:b/>
                <w:sz w:val="22"/>
                <w:szCs w:val="22"/>
              </w:rPr>
              <w:t>Specific Characteristics</w:t>
            </w:r>
          </w:p>
        </w:tc>
        <w:tc>
          <w:tcPr>
            <w:tcW w:w="234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AE564C" w:rsidRDefault="00AE564C">
            <w:pPr>
              <w:pStyle w:val="Standard"/>
              <w:rPr>
                <w:b/>
                <w:sz w:val="22"/>
                <w:szCs w:val="22"/>
              </w:rPr>
            </w:pPr>
          </w:p>
          <w:p w:rsidR="00AE564C" w:rsidRDefault="00407462">
            <w:pPr>
              <w:pStyle w:val="Standard"/>
              <w:rPr>
                <w:b/>
                <w:sz w:val="22"/>
                <w:szCs w:val="22"/>
              </w:rPr>
            </w:pPr>
            <w:r>
              <w:rPr>
                <w:b/>
                <w:sz w:val="22"/>
                <w:szCs w:val="22"/>
              </w:rPr>
              <w:t>Positive Impact</w:t>
            </w:r>
          </w:p>
          <w:p w:rsidR="00AE564C" w:rsidRDefault="00407462">
            <w:pPr>
              <w:pStyle w:val="Standard"/>
            </w:pPr>
            <w:r>
              <w:rPr>
                <w:b/>
                <w:sz w:val="22"/>
                <w:szCs w:val="22"/>
              </w:rPr>
              <w:t>(</w:t>
            </w:r>
            <w:r>
              <w:rPr>
                <w:b/>
                <w:sz w:val="16"/>
                <w:szCs w:val="16"/>
              </w:rPr>
              <w:t>it could benefit an equality group)</w:t>
            </w:r>
          </w:p>
        </w:tc>
        <w:tc>
          <w:tcPr>
            <w:tcW w:w="425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AE564C" w:rsidRDefault="00AE564C">
            <w:pPr>
              <w:pStyle w:val="Standard"/>
              <w:rPr>
                <w:b/>
                <w:sz w:val="22"/>
                <w:szCs w:val="22"/>
              </w:rPr>
            </w:pPr>
          </w:p>
          <w:p w:rsidR="00AE564C" w:rsidRDefault="00407462">
            <w:pPr>
              <w:pStyle w:val="Standard"/>
              <w:rPr>
                <w:b/>
                <w:sz w:val="22"/>
                <w:szCs w:val="22"/>
              </w:rPr>
            </w:pPr>
            <w:r>
              <w:rPr>
                <w:b/>
                <w:sz w:val="22"/>
                <w:szCs w:val="22"/>
              </w:rPr>
              <w:t>Negative Impact –</w:t>
            </w:r>
          </w:p>
          <w:p w:rsidR="00AE564C" w:rsidRDefault="00407462">
            <w:pPr>
              <w:pStyle w:val="Standard"/>
              <w:rPr>
                <w:b/>
                <w:sz w:val="16"/>
                <w:szCs w:val="16"/>
              </w:rPr>
            </w:pPr>
            <w:r>
              <w:rPr>
                <w:b/>
                <w:sz w:val="16"/>
                <w:szCs w:val="16"/>
              </w:rPr>
              <w:t>(it could disadvantage an equality group)</w:t>
            </w:r>
          </w:p>
        </w:tc>
        <w:tc>
          <w:tcPr>
            <w:tcW w:w="4394"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AE564C" w:rsidRDefault="00AE564C">
            <w:pPr>
              <w:pStyle w:val="Standard"/>
              <w:rPr>
                <w:b/>
                <w:sz w:val="22"/>
                <w:szCs w:val="22"/>
              </w:rPr>
            </w:pPr>
          </w:p>
          <w:p w:rsidR="00AE564C" w:rsidRDefault="00407462">
            <w:pPr>
              <w:pStyle w:val="Standard"/>
              <w:rPr>
                <w:b/>
                <w:sz w:val="22"/>
                <w:szCs w:val="22"/>
              </w:rPr>
            </w:pPr>
            <w:r>
              <w:rPr>
                <w:b/>
                <w:sz w:val="22"/>
                <w:szCs w:val="22"/>
              </w:rPr>
              <w:t>Socio Economic /</w:t>
            </w:r>
          </w:p>
          <w:p w:rsidR="00AE564C" w:rsidRDefault="00407462">
            <w:pPr>
              <w:pStyle w:val="Standard"/>
              <w:rPr>
                <w:b/>
                <w:sz w:val="22"/>
                <w:szCs w:val="22"/>
              </w:rPr>
            </w:pPr>
            <w:r>
              <w:rPr>
                <w:b/>
                <w:sz w:val="22"/>
                <w:szCs w:val="22"/>
              </w:rPr>
              <w:t>Human Rights Impacts</w:t>
            </w:r>
          </w:p>
        </w:tc>
      </w:tr>
      <w:tr w:rsidR="00AE564C" w:rsidTr="00240246">
        <w:trPr>
          <w:trHeight w:val="53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b/>
                <w:sz w:val="22"/>
                <w:szCs w:val="22"/>
              </w:rPr>
            </w:pPr>
            <w:r>
              <w:rPr>
                <w:b/>
                <w:sz w:val="22"/>
                <w:szCs w:val="22"/>
              </w:rPr>
              <w:t>SEX/ GENDER</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Women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Positive health and fitness benefits to our customers to resume using classes and activities. Positive health benefits for participants and potential positive mental health benefits - particularly for those experiencing social isolation during lockdown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Glasgow Club will allow booking via telephone as well as on-line to ensure that those without internet access or devices with which to make online bookings are able to access leisure activities.</w:t>
            </w:r>
          </w:p>
          <w:p w:rsidR="00AE564C" w:rsidRDefault="00AE564C">
            <w:pPr>
              <w:pStyle w:val="Standard"/>
              <w:rPr>
                <w:sz w:val="22"/>
                <w:szCs w:val="22"/>
              </w:rPr>
            </w:pPr>
          </w:p>
          <w:p w:rsidR="00AE564C" w:rsidRDefault="00407462">
            <w:pPr>
              <w:pStyle w:val="Standard"/>
              <w:rPr>
                <w:sz w:val="22"/>
                <w:szCs w:val="22"/>
              </w:rPr>
            </w:pPr>
            <w:r>
              <w:rPr>
                <w:sz w:val="22"/>
                <w:szCs w:val="22"/>
              </w:rPr>
              <w:t>There will be no hiring of equipment for health and safety reasons and this may affect those who cannot afford to possess their own.</w:t>
            </w:r>
          </w:p>
          <w:p w:rsidR="00AE564C" w:rsidRDefault="00AE564C">
            <w:pPr>
              <w:pStyle w:val="Standard"/>
              <w:rPr>
                <w:sz w:val="22"/>
                <w:szCs w:val="22"/>
              </w:rPr>
            </w:pPr>
          </w:p>
          <w:p w:rsidR="00AE564C" w:rsidRDefault="00407462">
            <w:pPr>
              <w:pStyle w:val="Standard"/>
              <w:rPr>
                <w:sz w:val="22"/>
                <w:szCs w:val="22"/>
              </w:rPr>
            </w:pPr>
            <w:r>
              <w:rPr>
                <w:sz w:val="22"/>
                <w:szCs w:val="22"/>
              </w:rPr>
              <w:t>Contact tracing protocols will be in place and customers and user groups (Lead Member) will be required to provide/collect contact data in accordance with the Scottish Governments Test &amp; Protect guidelines</w:t>
            </w:r>
          </w:p>
          <w:p w:rsidR="00AE564C" w:rsidRDefault="00AE564C">
            <w:pPr>
              <w:pStyle w:val="Standard"/>
              <w:rPr>
                <w:sz w:val="22"/>
                <w:szCs w:val="22"/>
              </w:rPr>
            </w:pPr>
          </w:p>
        </w:tc>
      </w:tr>
      <w:tr w:rsidR="00AE564C" w:rsidTr="00240246">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rPr>
          <w:trHeight w:val="47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Transgender</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AE564C">
            <w:pPr>
              <w:pStyle w:val="Standard"/>
              <w:rPr>
                <w:sz w:val="18"/>
                <w:szCs w:val="18"/>
              </w:rPr>
            </w:pPr>
          </w:p>
        </w:tc>
      </w:tr>
      <w:tr w:rsidR="00AE564C" w:rsidTr="00240246">
        <w:trPr>
          <w:trHeight w:val="399"/>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b/>
                <w:sz w:val="22"/>
                <w:szCs w:val="22"/>
              </w:rPr>
            </w:pPr>
            <w:r>
              <w:rPr>
                <w:b/>
                <w:sz w:val="22"/>
                <w:szCs w:val="22"/>
              </w:rPr>
              <w:t>RACE*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White</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rPr>
          <w:trHeight w:val="449"/>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407462">
            <w:pPr>
              <w:pStyle w:val="Standard"/>
            </w:pPr>
            <w:r>
              <w:rPr>
                <w:i/>
                <w:sz w:val="20"/>
                <w:szCs w:val="20"/>
              </w:rPr>
              <w:t xml:space="preserve">Further information on the breakdown below each of these headings, as per </w:t>
            </w:r>
            <w:r>
              <w:rPr>
                <w:i/>
                <w:sz w:val="20"/>
                <w:szCs w:val="20"/>
              </w:rPr>
              <w:lastRenderedPageBreak/>
              <w:t xml:space="preserve">census, is available </w:t>
            </w:r>
            <w:hyperlink r:id="rId13" w:history="1">
              <w:r>
                <w:rPr>
                  <w:i/>
                  <w:color w:val="0000FF"/>
                  <w:sz w:val="20"/>
                  <w:szCs w:val="20"/>
                  <w:u w:val="single"/>
                </w:rPr>
                <w:t>here.</w:t>
              </w:r>
            </w:hyperlink>
          </w:p>
          <w:p w:rsidR="00AE564C" w:rsidRDefault="00AE564C">
            <w:pPr>
              <w:pStyle w:val="Standard"/>
              <w:rPr>
                <w:i/>
                <w:sz w:val="20"/>
                <w:szCs w:val="20"/>
              </w:rPr>
            </w:pPr>
          </w:p>
          <w:p w:rsidR="00AE564C" w:rsidRDefault="00407462">
            <w:pPr>
              <w:pStyle w:val="Standard"/>
              <w:rPr>
                <w:i/>
                <w:sz w:val="20"/>
                <w:szCs w:val="20"/>
              </w:rPr>
            </w:pPr>
            <w:r>
              <w:rPr>
                <w:i/>
                <w:sz w:val="20"/>
                <w:szCs w:val="20"/>
              </w:rPr>
              <w:t>For example Asian includes Chinese, Pakistani and Indian etc</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lastRenderedPageBreak/>
              <w:t>Mixed or Multiple Ethnic Groups</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color w:val="000000"/>
                <w:sz w:val="22"/>
                <w:szCs w:val="22"/>
              </w:rPr>
            </w:pPr>
            <w:r>
              <w:rPr>
                <w:color w:val="000000"/>
                <w:sz w:val="22"/>
                <w:szCs w:val="22"/>
              </w:rPr>
              <w:t>As above</w:t>
            </w:r>
          </w:p>
          <w:p w:rsidR="00AE564C" w:rsidRPr="00185EAC" w:rsidRDefault="00AE564C">
            <w:pPr>
              <w:pStyle w:val="Standard"/>
              <w:rPr>
                <w:sz w:val="22"/>
                <w:szCs w:val="22"/>
              </w:rPr>
            </w:pPr>
          </w:p>
          <w:p w:rsidR="00AE564C" w:rsidRDefault="00407462">
            <w:pPr>
              <w:pStyle w:val="Standard"/>
              <w:rPr>
                <w:sz w:val="22"/>
                <w:szCs w:val="22"/>
              </w:rPr>
            </w:pPr>
            <w:r>
              <w:rPr>
                <w:sz w:val="22"/>
                <w:szCs w:val="22"/>
              </w:rPr>
              <w:t xml:space="preserve">BAME groups have been identified as being more adversely affected by COVID </w:t>
            </w:r>
            <w:r>
              <w:rPr>
                <w:sz w:val="22"/>
                <w:szCs w:val="22"/>
              </w:rPr>
              <w:lastRenderedPageBreak/>
              <w:t>19 and may feel less confident in returning to sport and exercise facilities. Clear customer messaging and strict safety protocols will help mitigate this and allow people to make informed decisions regarding use of the centre.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lastRenderedPageBreak/>
              <w:t>As above</w:t>
            </w:r>
          </w:p>
        </w:tc>
      </w:tr>
      <w:tr w:rsidR="00AE564C" w:rsidTr="00240246">
        <w:trPr>
          <w:trHeight w:val="499"/>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Asian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p w:rsidR="00AE564C" w:rsidRDefault="00AE564C">
            <w:pPr>
              <w:pStyle w:val="Standard"/>
              <w:rPr>
                <w:sz w:val="22"/>
                <w:szCs w:val="22"/>
              </w:rPr>
            </w:pPr>
          </w:p>
          <w:p w:rsidR="00AE564C" w:rsidRDefault="00407462">
            <w:pPr>
              <w:pStyle w:val="Standard"/>
              <w:rPr>
                <w:sz w:val="22"/>
                <w:szCs w:val="22"/>
              </w:rPr>
            </w:pPr>
            <w:r>
              <w:rPr>
                <w:sz w:val="22"/>
                <w:szCs w:val="22"/>
              </w:rPr>
              <w:t>South Asian populations have been identified in health research as being the most vulnerable group in terms of ethnicity in relation to COVID 19. This may make them even more unsure about returning to leisure facilities. Again, clear customer messaging will help them make an informed decision about this and the strict safety and hygiene protocols that will be introduced will help ensure that they feel safer.</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rPr>
          <w:trHeight w:val="548"/>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African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p w:rsidR="00AE564C" w:rsidRPr="00185EAC" w:rsidRDefault="00AE564C">
            <w:pPr>
              <w:pStyle w:val="Standard"/>
              <w:rPr>
                <w:sz w:val="22"/>
                <w:szCs w:val="22"/>
              </w:rPr>
            </w:pPr>
          </w:p>
          <w:p w:rsidR="00AE564C" w:rsidRDefault="00407462">
            <w:pPr>
              <w:pStyle w:val="Standard"/>
            </w:pPr>
            <w:r>
              <w:rPr>
                <w:sz w:val="22"/>
                <w:szCs w:val="22"/>
              </w:rPr>
              <w:t>BAME groups have been identified as being more adversely affected by COVID 19 and may feel less confident in returning to sport and exercise facilities. Clear customer messaging and strict safety protocols will help mitigate this and allow people to make informed decisions regarding use of the centre</w:t>
            </w:r>
            <w:r>
              <w:rPr>
                <w:color w:val="FF0000"/>
                <w:sz w:val="22"/>
                <w:szCs w:val="22"/>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rPr>
          <w:trHeight w:val="51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Caribbean or Black</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rPr>
          <w:trHeight w:val="56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Other Ethnic Group</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AE564C">
            <w:pPr>
              <w:pStyle w:val="Standard"/>
              <w:rPr>
                <w:sz w:val="18"/>
                <w:szCs w:val="18"/>
              </w:rPr>
            </w:pPr>
          </w:p>
        </w:tc>
      </w:tr>
      <w:tr w:rsidR="00AE564C" w:rsidTr="00240246">
        <w:trPr>
          <w:trHeight w:val="464"/>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b/>
                <w:sz w:val="22"/>
                <w:szCs w:val="22"/>
              </w:rPr>
            </w:pPr>
            <w:r>
              <w:rPr>
                <w:b/>
                <w:sz w:val="22"/>
                <w:szCs w:val="22"/>
              </w:rPr>
              <w:t>DISABILITY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Physical disability</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p w:rsidR="00AE564C" w:rsidRPr="00185EAC" w:rsidRDefault="00AE564C">
            <w:pPr>
              <w:pStyle w:val="Standard"/>
              <w:rPr>
                <w:sz w:val="22"/>
                <w:szCs w:val="22"/>
              </w:rPr>
            </w:pPr>
          </w:p>
          <w:p w:rsidR="00AE564C" w:rsidRDefault="00407462">
            <w:pPr>
              <w:pStyle w:val="Standard"/>
              <w:rPr>
                <w:sz w:val="22"/>
                <w:szCs w:val="22"/>
              </w:rPr>
            </w:pPr>
            <w:r>
              <w:rPr>
                <w:sz w:val="22"/>
                <w:szCs w:val="22"/>
              </w:rPr>
              <w:t>Use of lifts will be limited to one person. However, where someone does need support, one other person will be allowed to accompany them.</w:t>
            </w:r>
          </w:p>
          <w:p w:rsidR="00AE564C" w:rsidRDefault="00AE564C">
            <w:pPr>
              <w:pStyle w:val="Standard"/>
              <w:rPr>
                <w:sz w:val="22"/>
                <w:szCs w:val="22"/>
              </w:rPr>
            </w:pPr>
          </w:p>
          <w:p w:rsidR="00AE564C" w:rsidRDefault="00407462">
            <w:pPr>
              <w:pStyle w:val="Standard"/>
              <w:rPr>
                <w:sz w:val="22"/>
                <w:szCs w:val="22"/>
              </w:rPr>
            </w:pPr>
            <w:r>
              <w:rPr>
                <w:sz w:val="22"/>
                <w:szCs w:val="22"/>
              </w:rPr>
              <w:t>Wearing of masks within public spaces – but not while actually exercising – will be obligatory. Some customers with specific medical conditions may not be comfortable with this. Exemptions will apply in line with Scottish Government guidelines allowing this in this position to be comfortable.</w:t>
            </w:r>
          </w:p>
          <w:p w:rsidR="00AE564C" w:rsidRDefault="00AE564C">
            <w:pPr>
              <w:pStyle w:val="Standard"/>
              <w:rPr>
                <w:sz w:val="22"/>
                <w:szCs w:val="22"/>
              </w:rPr>
            </w:pPr>
          </w:p>
          <w:p w:rsidR="00AE564C" w:rsidRDefault="00407462">
            <w:pPr>
              <w:pStyle w:val="Standard"/>
              <w:rPr>
                <w:sz w:val="22"/>
                <w:szCs w:val="22"/>
              </w:rPr>
            </w:pPr>
            <w:r>
              <w:rPr>
                <w:sz w:val="22"/>
                <w:szCs w:val="22"/>
              </w:rPr>
              <w:t>Potential queues may pose a problem but we hope that the bookable activity time slots will help to mitigate this.</w:t>
            </w:r>
          </w:p>
          <w:p w:rsidR="00AE564C" w:rsidRDefault="00AE564C">
            <w:pPr>
              <w:pStyle w:val="Standard"/>
              <w:rPr>
                <w:sz w:val="22"/>
                <w:szCs w:val="22"/>
              </w:rPr>
            </w:pPr>
          </w:p>
          <w:p w:rsidR="00AE564C" w:rsidRDefault="00407462">
            <w:pPr>
              <w:pStyle w:val="Standard"/>
              <w:rPr>
                <w:sz w:val="22"/>
                <w:szCs w:val="22"/>
              </w:rPr>
            </w:pPr>
            <w:r>
              <w:rPr>
                <w:sz w:val="22"/>
                <w:szCs w:val="22"/>
              </w:rPr>
              <w:t>Proposed circuitous one way access/egress routes around the venue may make it difficult for some disabled people – particularly those with mobility issues or heart and respiratory conditions</w:t>
            </w:r>
          </w:p>
          <w:p w:rsidR="00AE564C" w:rsidRDefault="00AE564C">
            <w:pPr>
              <w:pStyle w:val="Standard"/>
              <w:rPr>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407462">
            <w:pPr>
              <w:pStyle w:val="Standard"/>
            </w:pPr>
            <w:r>
              <w:rPr>
                <w:i/>
                <w:sz w:val="20"/>
                <w:szCs w:val="20"/>
              </w:rPr>
              <w:t xml:space="preserve">A definition of disability under the Equality Act 2010 is available </w:t>
            </w:r>
            <w:hyperlink r:id="rId14" w:history="1">
              <w:r>
                <w:rPr>
                  <w:i/>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407462">
            <w:pPr>
              <w:pStyle w:val="Standard"/>
              <w:rPr>
                <w:sz w:val="22"/>
                <w:szCs w:val="22"/>
              </w:rPr>
            </w:pPr>
            <w:r>
              <w:rPr>
                <w:sz w:val="22"/>
                <w:szCs w:val="22"/>
              </w:rPr>
              <w:t>Sensory Impairment</w:t>
            </w:r>
          </w:p>
          <w:p w:rsidR="00AE564C" w:rsidRDefault="00407462">
            <w:pPr>
              <w:pStyle w:val="Standard"/>
              <w:rPr>
                <w:sz w:val="22"/>
                <w:szCs w:val="22"/>
              </w:rPr>
            </w:pPr>
            <w:r>
              <w:rPr>
                <w:sz w:val="22"/>
                <w:szCs w:val="22"/>
              </w:rPr>
              <w:t>(sight, hearing,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p w:rsidR="00AE564C" w:rsidRDefault="00AE564C">
            <w:pPr>
              <w:pStyle w:val="Standard"/>
              <w:rPr>
                <w:color w:val="000000"/>
                <w:sz w:val="22"/>
                <w:szCs w:val="22"/>
              </w:rPr>
            </w:pPr>
          </w:p>
          <w:p w:rsidR="00AE564C" w:rsidRDefault="00407462">
            <w:pPr>
              <w:pStyle w:val="Standard"/>
              <w:rPr>
                <w:sz w:val="22"/>
                <w:szCs w:val="22"/>
              </w:rPr>
            </w:pPr>
            <w:r>
              <w:rPr>
                <w:sz w:val="22"/>
                <w:szCs w:val="22"/>
              </w:rPr>
              <w:t>Should any staff members elect to wear masks, those who rely on lip reading may find it difficult to understand oral communications.</w:t>
            </w:r>
          </w:p>
          <w:p w:rsidR="00AE564C" w:rsidRDefault="00AE564C">
            <w:pPr>
              <w:pStyle w:val="Standard"/>
              <w:rPr>
                <w:sz w:val="22"/>
                <w:szCs w:val="22"/>
              </w:rPr>
            </w:pPr>
          </w:p>
          <w:p w:rsidR="00AE564C" w:rsidRDefault="00407462">
            <w:pPr>
              <w:pStyle w:val="Standard"/>
              <w:rPr>
                <w:sz w:val="22"/>
                <w:szCs w:val="22"/>
              </w:rPr>
            </w:pPr>
            <w:r>
              <w:rPr>
                <w:sz w:val="22"/>
                <w:szCs w:val="22"/>
              </w:rPr>
              <w:t>Wearing of masks within public spaces – but not while actually exercising – will be obligatory. Some customers with specific medical conditions may not be comfortable with this. Exemptions will apply in line with Scottish Government guidelines allowing this in this position to be comfortable.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lastRenderedPageBreak/>
              <w:t>As above</w:t>
            </w:r>
          </w:p>
        </w:tc>
      </w:tr>
      <w:tr w:rsidR="00AE564C" w:rsidTr="00240246">
        <w:trPr>
          <w:trHeight w:val="42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Mental Health</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p w:rsidR="00AE564C" w:rsidRDefault="00AE564C">
            <w:pPr>
              <w:pStyle w:val="Standard"/>
              <w:rPr>
                <w:sz w:val="22"/>
                <w:szCs w:val="22"/>
              </w:rPr>
            </w:pPr>
          </w:p>
          <w:p w:rsidR="00AE564C" w:rsidRDefault="00407462">
            <w:pPr>
              <w:pStyle w:val="Standard"/>
              <w:rPr>
                <w:sz w:val="22"/>
                <w:szCs w:val="22"/>
              </w:rPr>
            </w:pPr>
            <w:r>
              <w:rPr>
                <w:sz w:val="22"/>
                <w:szCs w:val="22"/>
              </w:rPr>
              <w:t>Health research has shown that for those with mental health conditions, lockdown has in many cases worsened their condition. Physical activity is well known to alleviate mental health conditions – especially depression and anxiety and being able to return to formal exercise and sport activities will be of benefit.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p w:rsidR="00AE564C" w:rsidRDefault="00AE564C">
            <w:pPr>
              <w:pStyle w:val="Standard"/>
              <w:rPr>
                <w:sz w:val="22"/>
                <w:szCs w:val="22"/>
              </w:rPr>
            </w:pPr>
          </w:p>
          <w:p w:rsidR="00AE564C" w:rsidRDefault="00407462">
            <w:pPr>
              <w:pStyle w:val="Standard"/>
              <w:rPr>
                <w:sz w:val="22"/>
                <w:szCs w:val="22"/>
              </w:rPr>
            </w:pPr>
            <w:r>
              <w:rPr>
                <w:sz w:val="22"/>
                <w:szCs w:val="22"/>
              </w:rPr>
              <w:t>Wearing of masks within public spaces – but not while actually exercising – will be obligatory. Some customers with specific medical conditions may not be comfortable with this. Exemptions will apply in line with Scottish Government guidelines allowing this in this position to be comfortable.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rPr>
          <w:trHeight w:val="557"/>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Learning Disability</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AE564C">
            <w:pPr>
              <w:pStyle w:val="Standard"/>
              <w:rPr>
                <w:sz w:val="22"/>
                <w:szCs w:val="22"/>
              </w:rPr>
            </w:pPr>
          </w:p>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 and some customers with a learning disability may find the guidance/signage and wayfaring instructions difficult to follow or disorientating and/or distressing.</w:t>
            </w:r>
          </w:p>
          <w:p w:rsidR="00AE564C" w:rsidRDefault="00AE564C">
            <w:pPr>
              <w:pStyle w:val="Standard"/>
              <w:rPr>
                <w:sz w:val="22"/>
                <w:szCs w:val="22"/>
              </w:rPr>
            </w:pPr>
          </w:p>
          <w:p w:rsidR="00AE564C" w:rsidRDefault="00407462">
            <w:pPr>
              <w:pStyle w:val="Standard"/>
              <w:rPr>
                <w:sz w:val="22"/>
                <w:szCs w:val="22"/>
              </w:rPr>
            </w:pPr>
            <w:r>
              <w:rPr>
                <w:sz w:val="22"/>
                <w:szCs w:val="22"/>
              </w:rPr>
              <w:lastRenderedPageBreak/>
              <w:t>Wearing of masks within public spaces – but not while actually exercising – will be obligatory. Some customers with specific medical conditions/learning disabilities may not be comfortable with this. Exemptions will apply in line with Scottish Government guidelines allowing this in this position to be comfortable.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lastRenderedPageBreak/>
              <w:t>As above</w:t>
            </w:r>
          </w:p>
        </w:tc>
      </w:tr>
      <w:tr w:rsidR="00AE564C" w:rsidTr="00240246">
        <w:trPr>
          <w:trHeight w:val="45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b/>
                <w:sz w:val="22"/>
                <w:szCs w:val="22"/>
              </w:rPr>
            </w:pPr>
            <w:r>
              <w:rPr>
                <w:b/>
                <w:sz w:val="22"/>
                <w:szCs w:val="22"/>
              </w:rPr>
              <w:t>LGBT</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Lesbians</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AE564C">
            <w:pPr>
              <w:pStyle w:val="Standard"/>
              <w:rPr>
                <w:sz w:val="22"/>
                <w:szCs w:val="22"/>
              </w:rPr>
            </w:pPr>
          </w:p>
          <w:p w:rsidR="00AE564C" w:rsidRDefault="00407462">
            <w:pPr>
              <w:pStyle w:val="Standard"/>
              <w:rPr>
                <w:sz w:val="22"/>
                <w:szCs w:val="22"/>
              </w:rPr>
            </w:pPr>
            <w:r>
              <w:rPr>
                <w:sz w:val="22"/>
                <w:szCs w:val="22"/>
              </w:rPr>
              <w:t>As above</w:t>
            </w:r>
          </w:p>
        </w:tc>
      </w:tr>
      <w:tr w:rsidR="00AE564C" w:rsidTr="00240246">
        <w:trPr>
          <w:trHeight w:val="50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AE564C">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Gay 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AE564C">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Bisexual</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AE564C" w:rsidRDefault="00AE564C">
            <w:pPr>
              <w:pStyle w:val="Standard"/>
              <w:rPr>
                <w:sz w:val="18"/>
                <w:szCs w:val="18"/>
              </w:rPr>
            </w:pPr>
          </w:p>
        </w:tc>
      </w:tr>
      <w:tr w:rsidR="00AE564C" w:rsidTr="00240246">
        <w:trPr>
          <w:trHeight w:val="49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b/>
                <w:sz w:val="22"/>
                <w:szCs w:val="22"/>
              </w:rPr>
            </w:pPr>
            <w:r>
              <w:rPr>
                <w:b/>
                <w:sz w:val="22"/>
                <w:szCs w:val="22"/>
              </w:rPr>
              <w:t>AGE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Older People (60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p w:rsidR="00AE564C" w:rsidRDefault="00AE564C">
            <w:pPr>
              <w:pStyle w:val="Standard"/>
              <w:rPr>
                <w:sz w:val="22"/>
                <w:szCs w:val="22"/>
              </w:rPr>
            </w:pPr>
          </w:p>
          <w:p w:rsidR="00AE564C" w:rsidRDefault="00407462">
            <w:pPr>
              <w:pStyle w:val="Standard"/>
              <w:rPr>
                <w:sz w:val="22"/>
                <w:szCs w:val="22"/>
              </w:rPr>
            </w:pPr>
            <w:r>
              <w:rPr>
                <w:sz w:val="22"/>
                <w:szCs w:val="22"/>
              </w:rPr>
              <w:t>Older people have been identified as being more vulnerable to COVID 19 and as such may feel less confident in returning to leisure facilities. Clear customer communication should help them make an informed decision about this. Also, the strict health and safety protocols may help to alleviate their concerns.</w:t>
            </w:r>
          </w:p>
          <w:p w:rsidR="00AE564C" w:rsidRDefault="00AE564C">
            <w:pPr>
              <w:pStyle w:val="Standard"/>
              <w:rPr>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Younger People (16-25)</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rPr>
          <w:trHeight w:val="59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Children (0-16)</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As above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As above</w:t>
            </w:r>
          </w:p>
        </w:tc>
      </w:tr>
      <w:tr w:rsidR="00AE564C" w:rsidTr="00240246">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AE564C" w:rsidRDefault="00AE564C">
            <w:pPr>
              <w:pStyle w:val="Standard"/>
              <w:rPr>
                <w:sz w:val="18"/>
                <w:szCs w:val="18"/>
              </w:rPr>
            </w:pPr>
          </w:p>
        </w:tc>
      </w:tr>
      <w:tr w:rsidR="00AE564C" w:rsidTr="00240246">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407462">
            <w:pPr>
              <w:pStyle w:val="Standard"/>
              <w:rPr>
                <w:b/>
                <w:sz w:val="22"/>
                <w:szCs w:val="22"/>
              </w:rPr>
            </w:pPr>
            <w:r>
              <w:rPr>
                <w:b/>
                <w:sz w:val="22"/>
                <w:szCs w:val="22"/>
              </w:rPr>
              <w:t>MARRIAGE</w:t>
            </w:r>
          </w:p>
          <w:p w:rsidR="00AE564C" w:rsidRDefault="00407462">
            <w:pPr>
              <w:pStyle w:val="Standard"/>
              <w:rPr>
                <w:b/>
                <w:sz w:val="22"/>
                <w:szCs w:val="22"/>
              </w:rPr>
            </w:pPr>
            <w:r>
              <w:rPr>
                <w:b/>
                <w:sz w:val="22"/>
                <w:szCs w:val="22"/>
              </w:rPr>
              <w:t>&amp; CIVIL PARTNERSHIP</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Women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N/A</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N/A</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N/A</w:t>
            </w:r>
          </w:p>
        </w:tc>
      </w:tr>
      <w:tr w:rsidR="00AE564C" w:rsidTr="00240246">
        <w:trPr>
          <w:trHeight w:val="54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N/A</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N/A</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N/A</w:t>
            </w:r>
          </w:p>
        </w:tc>
      </w:tr>
      <w:tr w:rsidR="00AE564C" w:rsidTr="00240246">
        <w:trPr>
          <w:trHeight w:val="59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Lesbians</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N/A</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N/A</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N/A</w:t>
            </w:r>
          </w:p>
        </w:tc>
      </w:tr>
      <w:tr w:rsidR="00AE564C" w:rsidTr="00240246">
        <w:trPr>
          <w:trHeight w:val="50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AE564C">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Gay 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N/A</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N/A</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N/A</w:t>
            </w:r>
          </w:p>
        </w:tc>
      </w:tr>
      <w:tr w:rsidR="00AE564C" w:rsidTr="00240246">
        <w:trPr>
          <w:trHeight w:val="70"/>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AE564C" w:rsidRDefault="00AE564C">
            <w:pPr>
              <w:pStyle w:val="Standard"/>
              <w:rPr>
                <w:sz w:val="18"/>
                <w:szCs w:val="18"/>
              </w:rPr>
            </w:pPr>
          </w:p>
        </w:tc>
      </w:tr>
      <w:tr w:rsidR="00AE564C" w:rsidTr="00240246">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407462">
            <w:pPr>
              <w:pStyle w:val="Standard"/>
              <w:rPr>
                <w:b/>
                <w:sz w:val="22"/>
                <w:szCs w:val="22"/>
              </w:rPr>
            </w:pPr>
            <w:r>
              <w:rPr>
                <w:b/>
                <w:sz w:val="22"/>
                <w:szCs w:val="22"/>
              </w:rPr>
              <w:t>PREGNANCY &amp; MATERNITY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t>Women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Positive health benefits for participants and potential positive mental health benefits - particularly for those experiencing social isolation during lockdown</w:t>
            </w:r>
          </w:p>
          <w:p w:rsidR="00AE564C" w:rsidRDefault="00AE564C">
            <w:pPr>
              <w:pStyle w:val="Standard"/>
              <w:rPr>
                <w:sz w:val="22"/>
                <w:szCs w:val="22"/>
              </w:rPr>
            </w:pPr>
          </w:p>
          <w:p w:rsidR="00AE564C" w:rsidRDefault="00407462">
            <w:pPr>
              <w:pStyle w:val="Standard"/>
              <w:rPr>
                <w:sz w:val="22"/>
                <w:szCs w:val="22"/>
              </w:rPr>
            </w:pPr>
            <w:r>
              <w:rPr>
                <w:sz w:val="22"/>
                <w:szCs w:val="22"/>
              </w:rPr>
              <w:t>Pregnant women will be advised to follow public health guidance on social distancing</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p w:rsidR="00AE564C" w:rsidRDefault="00AE564C">
            <w:pPr>
              <w:pStyle w:val="Standard"/>
              <w:rPr>
                <w:color w:val="000000"/>
                <w:sz w:val="22"/>
                <w:szCs w:val="22"/>
              </w:rPr>
            </w:pPr>
          </w:p>
          <w:p w:rsidR="00AE564C" w:rsidRDefault="00407462">
            <w:pPr>
              <w:pStyle w:val="Standard"/>
              <w:rPr>
                <w:sz w:val="22"/>
                <w:szCs w:val="22"/>
              </w:rPr>
            </w:pPr>
            <w:r>
              <w:rPr>
                <w:sz w:val="22"/>
                <w:szCs w:val="22"/>
              </w:rPr>
              <w:t>Pregnant women may feel particularly vulnerable to the COVID 19 virus and may not wish to return to using leisure facilities.</w:t>
            </w:r>
          </w:p>
          <w:p w:rsidR="00AE564C" w:rsidRDefault="00407462">
            <w:pPr>
              <w:pStyle w:val="Standard"/>
              <w:rPr>
                <w:sz w:val="22"/>
                <w:szCs w:val="22"/>
              </w:rPr>
            </w:pPr>
            <w:r>
              <w:rPr>
                <w:sz w:val="22"/>
                <w:szCs w:val="22"/>
              </w:rPr>
              <w:t>Clear customer communications will be made available allowing women to make an informed decision on returning. In addition, the strict health and safety protocols being introduced may help to give these customers confidence in returning.</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t>Glasgow Club will allow booking via telephone as well as on-line to ensure that those without internet access or devices with which to make online bookings are able to access leisure activities.</w:t>
            </w:r>
          </w:p>
          <w:p w:rsidR="00AE564C" w:rsidRDefault="00AE564C">
            <w:pPr>
              <w:pStyle w:val="Standard"/>
              <w:rPr>
                <w:sz w:val="22"/>
                <w:szCs w:val="22"/>
              </w:rPr>
            </w:pPr>
          </w:p>
          <w:p w:rsidR="00AE564C" w:rsidRDefault="00407462">
            <w:pPr>
              <w:pStyle w:val="Standard"/>
              <w:rPr>
                <w:sz w:val="22"/>
                <w:szCs w:val="22"/>
              </w:rPr>
            </w:pPr>
            <w:r>
              <w:rPr>
                <w:sz w:val="22"/>
                <w:szCs w:val="22"/>
              </w:rPr>
              <w:t>There will be no hiring of equipment for health and safety reasons and this may affect those who cannot afford to possess their own.</w:t>
            </w:r>
          </w:p>
          <w:p w:rsidR="00AE564C" w:rsidRDefault="00AE564C">
            <w:pPr>
              <w:pStyle w:val="Standard"/>
              <w:rPr>
                <w:sz w:val="22"/>
                <w:szCs w:val="22"/>
              </w:rPr>
            </w:pPr>
          </w:p>
          <w:p w:rsidR="00AE564C" w:rsidRDefault="00407462">
            <w:pPr>
              <w:pStyle w:val="Standard"/>
              <w:rPr>
                <w:sz w:val="22"/>
                <w:szCs w:val="22"/>
              </w:rPr>
            </w:pPr>
            <w:r>
              <w:rPr>
                <w:sz w:val="22"/>
                <w:szCs w:val="22"/>
              </w:rPr>
              <w:t>Contact tracing protocols will be in place and customers and user groups (Lead Member) will be required to provide/collect contact data in accordance with the Scottish Governments Test &amp; Protect guidelines</w:t>
            </w:r>
          </w:p>
          <w:p w:rsidR="00AE564C" w:rsidRDefault="00AE564C">
            <w:pPr>
              <w:pStyle w:val="Standard"/>
              <w:rPr>
                <w:sz w:val="22"/>
                <w:szCs w:val="22"/>
              </w:rPr>
            </w:pPr>
          </w:p>
        </w:tc>
      </w:tr>
      <w:tr w:rsidR="00AE564C" w:rsidTr="00240246">
        <w:trPr>
          <w:trHeight w:val="70"/>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AE564C" w:rsidRDefault="00AE564C">
            <w:pPr>
              <w:pStyle w:val="Standard"/>
              <w:rPr>
                <w:sz w:val="18"/>
                <w:szCs w:val="18"/>
              </w:rPr>
            </w:pPr>
          </w:p>
        </w:tc>
      </w:tr>
      <w:tr w:rsidR="00AE564C" w:rsidTr="00240246">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AE564C" w:rsidRDefault="00407462">
            <w:pPr>
              <w:pStyle w:val="Standard"/>
            </w:pPr>
            <w:r>
              <w:rPr>
                <w:b/>
                <w:sz w:val="22"/>
                <w:szCs w:val="22"/>
              </w:rPr>
              <w:t>RELIGION &amp; BELIEF</w:t>
            </w:r>
            <w:r>
              <w:rPr>
                <w:sz w:val="22"/>
                <w:szCs w:val="22"/>
              </w:rPr>
              <w:t>**</w:t>
            </w:r>
          </w:p>
          <w:p w:rsidR="00AE564C" w:rsidRDefault="00407462">
            <w:pPr>
              <w:pStyle w:val="Standard"/>
            </w:pPr>
            <w:r>
              <w:rPr>
                <w:sz w:val="20"/>
                <w:szCs w:val="20"/>
              </w:rPr>
              <w:lastRenderedPageBreak/>
              <w:t xml:space="preserve">A list of religions used in the census is available </w:t>
            </w:r>
            <w:hyperlink r:id="rId15" w:history="1">
              <w:r>
                <w:rPr>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pPr>
              <w:pStyle w:val="Standard"/>
              <w:rPr>
                <w:sz w:val="22"/>
                <w:szCs w:val="22"/>
              </w:rPr>
            </w:pPr>
            <w:r>
              <w:rPr>
                <w:sz w:val="22"/>
                <w:szCs w:val="22"/>
              </w:rPr>
              <w:lastRenderedPageBreak/>
              <w:t>See note</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 xml:space="preserve">Positive health benefits for </w:t>
            </w:r>
            <w:r>
              <w:rPr>
                <w:sz w:val="22"/>
                <w:szCs w:val="22"/>
              </w:rPr>
              <w:lastRenderedPageBreak/>
              <w:t>participants and potential positive mental health benefits - particularly for those experiencing social isolation during lockdown</w:t>
            </w:r>
          </w:p>
          <w:p w:rsidR="00AE564C" w:rsidRDefault="00AE564C">
            <w:pPr>
              <w:pStyle w:val="Standard"/>
              <w:rPr>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color w:val="000000"/>
                <w:sz w:val="22"/>
                <w:szCs w:val="22"/>
              </w:rPr>
            </w:pPr>
            <w:r>
              <w:rPr>
                <w:color w:val="000000"/>
                <w:sz w:val="22"/>
                <w:szCs w:val="22"/>
              </w:rPr>
              <w:lastRenderedPageBreak/>
              <w:t xml:space="preserve">Initially there will be no changing facilities available which will require all users to </w:t>
            </w:r>
            <w:r>
              <w:rPr>
                <w:color w:val="000000"/>
                <w:sz w:val="22"/>
                <w:szCs w:val="22"/>
              </w:rPr>
              <w:lastRenderedPageBreak/>
              <w:t>attend the venue already prepared for activity they are undertaking. All activities will be bookable only, therefore reducing existing capacities and limiting access.</w:t>
            </w:r>
          </w:p>
        </w:tc>
        <w:tc>
          <w:tcPr>
            <w:tcW w:w="4394"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AE564C" w:rsidRDefault="00407462">
            <w:pPr>
              <w:pStyle w:val="Standard"/>
              <w:rPr>
                <w:sz w:val="22"/>
                <w:szCs w:val="22"/>
              </w:rPr>
            </w:pPr>
            <w:r>
              <w:rPr>
                <w:sz w:val="22"/>
                <w:szCs w:val="22"/>
              </w:rPr>
              <w:lastRenderedPageBreak/>
              <w:t>As above</w:t>
            </w:r>
          </w:p>
        </w:tc>
      </w:tr>
    </w:tbl>
    <w:p w:rsidR="00AE564C" w:rsidRDefault="00AE564C">
      <w:pPr>
        <w:pStyle w:val="Standard"/>
        <w:ind w:left="284"/>
        <w:rPr>
          <w:sz w:val="18"/>
          <w:szCs w:val="18"/>
        </w:rPr>
      </w:pPr>
    </w:p>
    <w:p w:rsidR="00AE564C" w:rsidRDefault="00407462" w:rsidP="00185EAC">
      <w:pPr>
        <w:pStyle w:val="Standard"/>
        <w:rPr>
          <w:sz w:val="18"/>
          <w:szCs w:val="18"/>
        </w:rPr>
      </w:pPr>
      <w:r>
        <w:rPr>
          <w:sz w:val="18"/>
          <w:szCs w:val="18"/>
        </w:rPr>
        <w:t>* For reasons of brevity race is not an exhaustive list, and therefore please feel free to augment the list above where appropriate; to reflect the complexity of other racial identities.</w:t>
      </w:r>
    </w:p>
    <w:p w:rsidR="00AE564C" w:rsidRDefault="00407462" w:rsidP="00185EAC">
      <w:pPr>
        <w:pStyle w:val="Standard"/>
      </w:pPr>
      <w:r>
        <w:rPr>
          <w:sz w:val="18"/>
          <w:szCs w:val="18"/>
        </w:rPr>
        <w:t xml:space="preserve">** There are too many faith groups to provide a list, therefore, please input the faith group e.g. Muslims, Buddhists, Jews, Christians, Hindus, etc.  Consider the different faith groups individually when considering positive or negative impacts. A list of religions used in the census is available </w:t>
      </w:r>
      <w:hyperlink r:id="rId16" w:history="1">
        <w:r>
          <w:rPr>
            <w:color w:val="0000FF"/>
            <w:sz w:val="18"/>
            <w:szCs w:val="18"/>
            <w:u w:val="single"/>
          </w:rPr>
          <w:t>here.</w:t>
        </w:r>
      </w:hyperlink>
    </w:p>
    <w:p w:rsidR="00AE564C" w:rsidRDefault="00AE564C">
      <w:pPr>
        <w:pStyle w:val="Standard"/>
        <w:ind w:left="360"/>
        <w:rPr>
          <w:sz w:val="18"/>
          <w:szCs w:val="18"/>
        </w:rPr>
      </w:pPr>
    </w:p>
    <w:p w:rsidR="00AE564C" w:rsidRDefault="00407462" w:rsidP="00185EAC">
      <w:pPr>
        <w:pStyle w:val="Standard"/>
        <w:pageBreakBefore/>
        <w:rPr>
          <w:sz w:val="32"/>
          <w:szCs w:val="32"/>
        </w:rPr>
      </w:pPr>
      <w:r>
        <w:rPr>
          <w:sz w:val="32"/>
          <w:szCs w:val="32"/>
        </w:rPr>
        <w:lastRenderedPageBreak/>
        <w:t>Summary of Protected Characteristics Most Impacted</w:t>
      </w:r>
    </w:p>
    <w:tbl>
      <w:tblPr>
        <w:tblW w:w="15021" w:type="dxa"/>
        <w:tblLayout w:type="fixed"/>
        <w:tblCellMar>
          <w:left w:w="10" w:type="dxa"/>
          <w:right w:w="10" w:type="dxa"/>
        </w:tblCellMar>
        <w:tblLook w:val="0000" w:firstRow="0" w:lastRow="0" w:firstColumn="0" w:lastColumn="0" w:noHBand="0" w:noVBand="0"/>
      </w:tblPr>
      <w:tblGrid>
        <w:gridCol w:w="15021"/>
      </w:tblGrid>
      <w:tr w:rsidR="00AE564C" w:rsidTr="00185EAC">
        <w:trPr>
          <w:trHeight w:val="70"/>
        </w:trPr>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AE564C" w:rsidRDefault="00407462">
            <w:pPr>
              <w:pStyle w:val="Standard"/>
            </w:pPr>
            <w:r>
              <w:rPr>
                <w:b/>
                <w:sz w:val="22"/>
                <w:szCs w:val="22"/>
              </w:rPr>
              <w:t>Race</w:t>
            </w:r>
            <w:r>
              <w:rPr>
                <w:sz w:val="22"/>
                <w:szCs w:val="22"/>
              </w:rPr>
              <w:t xml:space="preserve"> - with some ethnic groups being more vulnerable to COID 19 customer confidence in attending leisure facilities may be low.</w:t>
            </w:r>
          </w:p>
          <w:p w:rsidR="00AE564C" w:rsidRDefault="00407462">
            <w:pPr>
              <w:pStyle w:val="Standard"/>
            </w:pPr>
            <w:r>
              <w:rPr>
                <w:b/>
                <w:sz w:val="22"/>
                <w:szCs w:val="22"/>
              </w:rPr>
              <w:t>Disability</w:t>
            </w:r>
            <w:r>
              <w:rPr>
                <w:sz w:val="22"/>
                <w:szCs w:val="22"/>
              </w:rPr>
              <w:t xml:space="preserve"> – those with learning disabilities may be affected in particular in relation to the new operating procedures.</w:t>
            </w:r>
          </w:p>
          <w:p w:rsidR="00AE564C" w:rsidRDefault="00407462">
            <w:pPr>
              <w:pStyle w:val="Standard"/>
            </w:pPr>
            <w:r>
              <w:rPr>
                <w:b/>
                <w:sz w:val="22"/>
                <w:szCs w:val="22"/>
              </w:rPr>
              <w:t>Age</w:t>
            </w:r>
            <w:r>
              <w:rPr>
                <w:sz w:val="22"/>
                <w:szCs w:val="22"/>
              </w:rPr>
              <w:t xml:space="preserve"> – Older people may note feel confident in returning to use formal leisure facilities. </w:t>
            </w:r>
          </w:p>
          <w:p w:rsidR="00AE564C" w:rsidRDefault="00407462">
            <w:pPr>
              <w:pStyle w:val="Standard"/>
            </w:pPr>
            <w:r>
              <w:rPr>
                <w:b/>
                <w:sz w:val="22"/>
                <w:szCs w:val="22"/>
              </w:rPr>
              <w:t xml:space="preserve">Pregnancy/maternity </w:t>
            </w:r>
            <w:r>
              <w:rPr>
                <w:sz w:val="22"/>
                <w:szCs w:val="22"/>
              </w:rPr>
              <w:t>– pregnant women may not feel confident in returning to use formal leisure facilities and should follow public health guidance on this as more information becomes available</w:t>
            </w:r>
          </w:p>
          <w:p w:rsidR="00AE564C" w:rsidRDefault="00AE564C">
            <w:pPr>
              <w:pStyle w:val="Standard"/>
              <w:rPr>
                <w:sz w:val="18"/>
                <w:szCs w:val="18"/>
              </w:rPr>
            </w:pPr>
          </w:p>
        </w:tc>
      </w:tr>
    </w:tbl>
    <w:p w:rsidR="00AE564C" w:rsidRPr="00185EAC" w:rsidRDefault="00AE564C">
      <w:pPr>
        <w:pStyle w:val="Standard"/>
        <w:ind w:left="360"/>
        <w:rPr>
          <w:sz w:val="16"/>
          <w:szCs w:val="16"/>
        </w:rPr>
      </w:pPr>
    </w:p>
    <w:p w:rsidR="00AE564C" w:rsidRDefault="00407462" w:rsidP="00185EAC">
      <w:pPr>
        <w:pStyle w:val="Standard"/>
        <w:rPr>
          <w:sz w:val="32"/>
          <w:szCs w:val="32"/>
        </w:rPr>
      </w:pPr>
      <w:r>
        <w:rPr>
          <w:sz w:val="32"/>
          <w:szCs w:val="32"/>
        </w:rPr>
        <w:t>Summary of Socio Economic Impacts</w:t>
      </w:r>
    </w:p>
    <w:tbl>
      <w:tblPr>
        <w:tblW w:w="15021" w:type="dxa"/>
        <w:tblLayout w:type="fixed"/>
        <w:tblCellMar>
          <w:left w:w="10" w:type="dxa"/>
          <w:right w:w="10" w:type="dxa"/>
        </w:tblCellMar>
        <w:tblLook w:val="0000" w:firstRow="0" w:lastRow="0" w:firstColumn="0" w:lastColumn="0" w:noHBand="0" w:noVBand="0"/>
      </w:tblPr>
      <w:tblGrid>
        <w:gridCol w:w="15021"/>
      </w:tblGrid>
      <w:tr w:rsidR="00AE564C" w:rsidTr="00185EAC">
        <w:trPr>
          <w:trHeight w:val="70"/>
        </w:trPr>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AE564C" w:rsidRDefault="00407462">
            <w:pPr>
              <w:pStyle w:val="Standard"/>
              <w:rPr>
                <w:sz w:val="22"/>
                <w:szCs w:val="22"/>
              </w:rPr>
            </w:pPr>
            <w:r>
              <w:rPr>
                <w:sz w:val="22"/>
                <w:szCs w:val="22"/>
              </w:rPr>
              <w:t>Booking procedures will be via telephone as well as on-line to ensure no negative impact for those without internet access or devices required to make online bookings.</w:t>
            </w:r>
          </w:p>
          <w:p w:rsidR="00AE564C" w:rsidRDefault="00AE564C">
            <w:pPr>
              <w:pStyle w:val="Standard"/>
              <w:rPr>
                <w:sz w:val="22"/>
                <w:szCs w:val="22"/>
              </w:rPr>
            </w:pPr>
          </w:p>
          <w:p w:rsidR="00AE564C" w:rsidRDefault="00407462">
            <w:pPr>
              <w:pStyle w:val="Standard"/>
              <w:rPr>
                <w:sz w:val="22"/>
                <w:szCs w:val="22"/>
              </w:rPr>
            </w:pPr>
            <w:r>
              <w:rPr>
                <w:sz w:val="22"/>
                <w:szCs w:val="22"/>
              </w:rPr>
              <w:t>The unavailability of hiring equipment may affect those who cannot afford to possess their own.</w:t>
            </w:r>
          </w:p>
          <w:p w:rsidR="00AE564C" w:rsidRDefault="00407462">
            <w:pPr>
              <w:pStyle w:val="Standard"/>
              <w:rPr>
                <w:sz w:val="22"/>
                <w:szCs w:val="22"/>
              </w:rPr>
            </w:pPr>
            <w:r>
              <w:rPr>
                <w:sz w:val="22"/>
                <w:szCs w:val="22"/>
              </w:rPr>
              <w:t>Fairer Scotland Duty – research indicates those facing socio-economic challenges may be disproportionately affected by Covid 19.</w:t>
            </w:r>
          </w:p>
          <w:p w:rsidR="00AE564C" w:rsidRDefault="00AE564C">
            <w:pPr>
              <w:pStyle w:val="Standard"/>
              <w:rPr>
                <w:sz w:val="18"/>
                <w:szCs w:val="18"/>
              </w:rPr>
            </w:pPr>
          </w:p>
        </w:tc>
      </w:tr>
    </w:tbl>
    <w:p w:rsidR="00AE564C" w:rsidRPr="00185EAC" w:rsidRDefault="00AE564C">
      <w:pPr>
        <w:pStyle w:val="Standard"/>
        <w:rPr>
          <w:sz w:val="16"/>
          <w:szCs w:val="16"/>
        </w:rPr>
      </w:pPr>
    </w:p>
    <w:p w:rsidR="00AE564C" w:rsidRDefault="00407462" w:rsidP="00185EAC">
      <w:pPr>
        <w:pStyle w:val="Standard"/>
        <w:rPr>
          <w:sz w:val="32"/>
          <w:szCs w:val="32"/>
        </w:rPr>
      </w:pPr>
      <w:r>
        <w:rPr>
          <w:sz w:val="32"/>
          <w:szCs w:val="32"/>
        </w:rPr>
        <w:t>Summary of Human Rights Impacts</w:t>
      </w:r>
    </w:p>
    <w:tbl>
      <w:tblPr>
        <w:tblW w:w="15021" w:type="dxa"/>
        <w:tblLayout w:type="fixed"/>
        <w:tblCellMar>
          <w:left w:w="10" w:type="dxa"/>
          <w:right w:w="10" w:type="dxa"/>
        </w:tblCellMar>
        <w:tblLook w:val="0000" w:firstRow="0" w:lastRow="0" w:firstColumn="0" w:lastColumn="0" w:noHBand="0" w:noVBand="0"/>
      </w:tblPr>
      <w:tblGrid>
        <w:gridCol w:w="15021"/>
      </w:tblGrid>
      <w:tr w:rsidR="00AE564C" w:rsidTr="00185EAC">
        <w:trPr>
          <w:trHeight w:val="70"/>
        </w:trPr>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AE564C" w:rsidRDefault="00407462">
            <w:pPr>
              <w:pStyle w:val="Standard"/>
            </w:pPr>
            <w:r>
              <w:rPr>
                <w:sz w:val="22"/>
                <w:szCs w:val="22"/>
              </w:rPr>
              <w:t>Test &amp; Protect protocols will be in place and people will need to supply their contact details. Some may not be comfortable with this.</w:t>
            </w:r>
          </w:p>
          <w:p w:rsidR="00AE564C" w:rsidRDefault="00AE564C">
            <w:pPr>
              <w:pStyle w:val="Standard"/>
              <w:rPr>
                <w:sz w:val="18"/>
                <w:szCs w:val="18"/>
              </w:rPr>
            </w:pPr>
          </w:p>
        </w:tc>
      </w:tr>
    </w:tbl>
    <w:p w:rsidR="00AE564C" w:rsidRPr="00185EAC" w:rsidRDefault="00AE564C">
      <w:pPr>
        <w:pStyle w:val="Standard"/>
        <w:ind w:left="360"/>
        <w:rPr>
          <w:sz w:val="28"/>
          <w:szCs w:val="28"/>
        </w:rPr>
      </w:pPr>
    </w:p>
    <w:p w:rsidR="00AE564C" w:rsidRDefault="00407462" w:rsidP="00185EAC">
      <w:pPr>
        <w:pStyle w:val="Heading1"/>
        <w:numPr>
          <w:ilvl w:val="0"/>
          <w:numId w:val="3"/>
        </w:numPr>
        <w:ind w:hanging="720"/>
        <w:rPr>
          <w:sz w:val="36"/>
          <w:szCs w:val="36"/>
        </w:rPr>
      </w:pPr>
      <w:r>
        <w:rPr>
          <w:sz w:val="36"/>
          <w:szCs w:val="36"/>
        </w:rPr>
        <w:t>OUTCOMES, ACTION &amp; PUBLIC REPORTING</w:t>
      </w:r>
    </w:p>
    <w:p w:rsidR="00AE564C" w:rsidRDefault="00AE564C">
      <w:pPr>
        <w:pStyle w:val="Standard"/>
        <w:rPr>
          <w:sz w:val="22"/>
          <w:szCs w:val="22"/>
        </w:rPr>
      </w:pPr>
    </w:p>
    <w:tbl>
      <w:tblPr>
        <w:tblW w:w="15026" w:type="dxa"/>
        <w:tblInd w:w="-5" w:type="dxa"/>
        <w:tblLayout w:type="fixed"/>
        <w:tblCellMar>
          <w:left w:w="10" w:type="dxa"/>
          <w:right w:w="10" w:type="dxa"/>
        </w:tblCellMar>
        <w:tblLook w:val="0000" w:firstRow="0" w:lastRow="0" w:firstColumn="0" w:lastColumn="0" w:noHBand="0" w:noVBand="0"/>
      </w:tblPr>
      <w:tblGrid>
        <w:gridCol w:w="6946"/>
        <w:gridCol w:w="8080"/>
      </w:tblGrid>
      <w:tr w:rsidR="00AE564C" w:rsidTr="00240246">
        <w:tc>
          <w:tcPr>
            <w:tcW w:w="69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AE564C" w:rsidRPr="00240246" w:rsidRDefault="00AE564C">
            <w:pPr>
              <w:pStyle w:val="Standard"/>
              <w:rPr>
                <w:b/>
                <w:sz w:val="12"/>
                <w:szCs w:val="12"/>
              </w:rPr>
            </w:pPr>
          </w:p>
          <w:p w:rsidR="00AE564C" w:rsidRDefault="00407462">
            <w:pPr>
              <w:pStyle w:val="Standard"/>
              <w:jc w:val="center"/>
              <w:rPr>
                <w:b/>
                <w:sz w:val="36"/>
                <w:szCs w:val="36"/>
              </w:rPr>
            </w:pPr>
            <w:r>
              <w:rPr>
                <w:b/>
                <w:sz w:val="36"/>
                <w:szCs w:val="36"/>
              </w:rPr>
              <w:t>Screening Outcome</w:t>
            </w:r>
          </w:p>
        </w:tc>
        <w:tc>
          <w:tcPr>
            <w:tcW w:w="8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AE564C" w:rsidRPr="00240246" w:rsidRDefault="00AE564C">
            <w:pPr>
              <w:pStyle w:val="Standard"/>
              <w:rPr>
                <w:b/>
                <w:sz w:val="12"/>
                <w:szCs w:val="12"/>
              </w:rPr>
            </w:pPr>
          </w:p>
          <w:p w:rsidR="00AE564C" w:rsidRDefault="00407462">
            <w:pPr>
              <w:pStyle w:val="Standard"/>
              <w:rPr>
                <w:b/>
                <w:sz w:val="28"/>
                <w:szCs w:val="28"/>
              </w:rPr>
            </w:pPr>
            <w:r>
              <w:rPr>
                <w:b/>
                <w:sz w:val="28"/>
                <w:szCs w:val="28"/>
              </w:rPr>
              <w:t>Yes /No</w:t>
            </w:r>
          </w:p>
          <w:p w:rsidR="00AE564C" w:rsidRDefault="00407462">
            <w:pPr>
              <w:pStyle w:val="Standard"/>
              <w:rPr>
                <w:b/>
                <w:sz w:val="28"/>
                <w:szCs w:val="28"/>
              </w:rPr>
            </w:pPr>
            <w:r>
              <w:rPr>
                <w:b/>
                <w:sz w:val="28"/>
                <w:szCs w:val="28"/>
              </w:rPr>
              <w:t>Or /</w:t>
            </w:r>
          </w:p>
          <w:p w:rsidR="00AE564C" w:rsidRDefault="00407462">
            <w:pPr>
              <w:pStyle w:val="Standard"/>
              <w:rPr>
                <w:b/>
                <w:sz w:val="28"/>
                <w:szCs w:val="28"/>
              </w:rPr>
            </w:pPr>
            <w:r>
              <w:rPr>
                <w:b/>
                <w:sz w:val="28"/>
                <w:szCs w:val="28"/>
              </w:rPr>
              <w:t>Not At This Stage</w:t>
            </w:r>
          </w:p>
          <w:p w:rsidR="00AE564C" w:rsidRPr="00240246" w:rsidRDefault="00AE564C">
            <w:pPr>
              <w:pStyle w:val="Standard"/>
              <w:rPr>
                <w:b/>
                <w:sz w:val="12"/>
                <w:szCs w:val="12"/>
              </w:rPr>
            </w:pPr>
          </w:p>
        </w:tc>
      </w:tr>
      <w:tr w:rsidR="00AE564C" w:rsidTr="00240246">
        <w:tc>
          <w:tcPr>
            <w:tcW w:w="694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rsidP="00240246">
            <w:pPr>
              <w:pStyle w:val="Standard"/>
              <w:rPr>
                <w:b/>
                <w:sz w:val="22"/>
                <w:szCs w:val="22"/>
              </w:rPr>
            </w:pPr>
            <w:r>
              <w:rPr>
                <w:b/>
                <w:sz w:val="22"/>
                <w:szCs w:val="22"/>
              </w:rPr>
              <w:t xml:space="preserve">Was a significant level of negative impact arising from the project, policy or </w:t>
            </w:r>
            <w:r w:rsidR="00185EAC">
              <w:rPr>
                <w:b/>
                <w:sz w:val="22"/>
                <w:szCs w:val="22"/>
              </w:rPr>
              <w:t xml:space="preserve">strategy </w:t>
            </w:r>
            <w:r>
              <w:rPr>
                <w:b/>
                <w:sz w:val="22"/>
                <w:szCs w:val="22"/>
              </w:rPr>
              <w:t>identified?</w:t>
            </w:r>
          </w:p>
          <w:p w:rsidR="00AE564C" w:rsidRDefault="00AE564C" w:rsidP="00240246">
            <w:pPr>
              <w:pStyle w:val="Standard"/>
              <w:rPr>
                <w:b/>
                <w:sz w:val="22"/>
                <w:szCs w:val="22"/>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b/>
                <w:sz w:val="22"/>
                <w:szCs w:val="22"/>
              </w:rPr>
            </w:pPr>
            <w:r>
              <w:rPr>
                <w:b/>
                <w:sz w:val="22"/>
                <w:szCs w:val="22"/>
              </w:rPr>
              <w:t>Not at this stage</w:t>
            </w:r>
          </w:p>
          <w:p w:rsidR="00AE564C" w:rsidRDefault="00407462">
            <w:pPr>
              <w:pStyle w:val="Standard"/>
              <w:rPr>
                <w:sz w:val="22"/>
                <w:szCs w:val="22"/>
              </w:rPr>
            </w:pPr>
            <w:r>
              <w:rPr>
                <w:sz w:val="22"/>
                <w:szCs w:val="22"/>
              </w:rPr>
              <w:t>We will continue to monitor impacts in order to identify any unforeseen negative effects experienced by customers,</w:t>
            </w:r>
          </w:p>
        </w:tc>
      </w:tr>
      <w:tr w:rsidR="00AE564C" w:rsidTr="00240246">
        <w:tc>
          <w:tcPr>
            <w:tcW w:w="694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rsidP="00240246">
            <w:pPr>
              <w:pStyle w:val="Standard"/>
              <w:rPr>
                <w:b/>
                <w:sz w:val="22"/>
                <w:szCs w:val="22"/>
              </w:rPr>
            </w:pPr>
            <w:r>
              <w:rPr>
                <w:b/>
                <w:sz w:val="22"/>
                <w:szCs w:val="22"/>
              </w:rPr>
              <w:t>Does the project, policy or strategy require to be amended to have a positive impact?</w:t>
            </w:r>
          </w:p>
          <w:p w:rsidR="00AE564C" w:rsidRDefault="00AE564C" w:rsidP="00240246">
            <w:pPr>
              <w:pStyle w:val="Standard"/>
              <w:rPr>
                <w:b/>
                <w:sz w:val="22"/>
                <w:szCs w:val="22"/>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b/>
                <w:sz w:val="22"/>
                <w:szCs w:val="22"/>
              </w:rPr>
            </w:pPr>
            <w:r>
              <w:rPr>
                <w:b/>
                <w:sz w:val="22"/>
                <w:szCs w:val="22"/>
              </w:rPr>
              <w:t>Not at this stage</w:t>
            </w:r>
          </w:p>
          <w:p w:rsidR="00AE564C" w:rsidRDefault="00407462">
            <w:pPr>
              <w:pStyle w:val="Standard"/>
              <w:rPr>
                <w:sz w:val="22"/>
                <w:szCs w:val="22"/>
              </w:rPr>
            </w:pPr>
            <w:r>
              <w:rPr>
                <w:sz w:val="22"/>
                <w:szCs w:val="22"/>
              </w:rPr>
              <w:t>We are constrained by public health and Scottish Government guidelines and are thus limited in what we can do to ameliorate identified negative impacts.</w:t>
            </w:r>
          </w:p>
        </w:tc>
      </w:tr>
      <w:tr w:rsidR="00AE564C" w:rsidTr="00240246">
        <w:tc>
          <w:tcPr>
            <w:tcW w:w="694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AE564C" w:rsidRDefault="00407462" w:rsidP="00240246">
            <w:pPr>
              <w:pStyle w:val="Standard"/>
              <w:rPr>
                <w:b/>
                <w:sz w:val="22"/>
                <w:szCs w:val="22"/>
              </w:rPr>
            </w:pPr>
            <w:r>
              <w:rPr>
                <w:b/>
                <w:sz w:val="22"/>
                <w:szCs w:val="22"/>
              </w:rPr>
              <w:t>Does a Full Impact Assessment need to be undertaken?</w:t>
            </w:r>
          </w:p>
          <w:p w:rsidR="00AE564C" w:rsidRDefault="00AE564C" w:rsidP="00240246">
            <w:pPr>
              <w:pStyle w:val="Standard"/>
              <w:rPr>
                <w:b/>
                <w:sz w:val="22"/>
                <w:szCs w:val="22"/>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b/>
                <w:sz w:val="22"/>
                <w:szCs w:val="22"/>
              </w:rPr>
            </w:pPr>
            <w:r>
              <w:rPr>
                <w:b/>
                <w:sz w:val="22"/>
                <w:szCs w:val="22"/>
              </w:rPr>
              <w:t>Not at this stage</w:t>
            </w:r>
          </w:p>
          <w:p w:rsidR="00AE564C" w:rsidRDefault="00407462">
            <w:pPr>
              <w:pStyle w:val="Standard"/>
              <w:rPr>
                <w:sz w:val="22"/>
                <w:szCs w:val="22"/>
              </w:rPr>
            </w:pPr>
            <w:r>
              <w:rPr>
                <w:sz w:val="22"/>
                <w:szCs w:val="22"/>
              </w:rPr>
              <w:t>See above</w:t>
            </w:r>
          </w:p>
        </w:tc>
      </w:tr>
    </w:tbl>
    <w:p w:rsidR="00C57BFF" w:rsidRDefault="00C57BFF">
      <w:pPr>
        <w:rPr>
          <w:rFonts w:cs="Mangal"/>
          <w:szCs w:val="21"/>
        </w:rPr>
        <w:sectPr w:rsidR="00C57BFF">
          <w:headerReference w:type="default" r:id="rId17"/>
          <w:footerReference w:type="default" r:id="rId18"/>
          <w:pgSz w:w="16838" w:h="11906"/>
          <w:pgMar w:top="851" w:right="426" w:bottom="851" w:left="851" w:header="720" w:footer="340" w:gutter="0"/>
          <w:cols w:space="720"/>
        </w:sectPr>
      </w:pPr>
    </w:p>
    <w:p w:rsidR="00AE564C" w:rsidRDefault="00AE564C">
      <w:pPr>
        <w:pStyle w:val="Standard"/>
        <w:ind w:firstLine="360"/>
        <w:rPr>
          <w:sz w:val="18"/>
          <w:szCs w:val="18"/>
        </w:rPr>
      </w:pPr>
    </w:p>
    <w:tbl>
      <w:tblPr>
        <w:tblW w:w="14646" w:type="dxa"/>
        <w:tblInd w:w="375" w:type="dxa"/>
        <w:tblLayout w:type="fixed"/>
        <w:tblCellMar>
          <w:left w:w="10" w:type="dxa"/>
          <w:right w:w="10" w:type="dxa"/>
        </w:tblCellMar>
        <w:tblLook w:val="0000" w:firstRow="0" w:lastRow="0" w:firstColumn="0" w:lastColumn="0" w:noHBand="0" w:noVBand="0"/>
      </w:tblPr>
      <w:tblGrid>
        <w:gridCol w:w="5290"/>
        <w:gridCol w:w="3828"/>
        <w:gridCol w:w="5528"/>
      </w:tblGrid>
      <w:tr w:rsidR="00AE564C" w:rsidTr="00240246">
        <w:tc>
          <w:tcPr>
            <w:tcW w:w="1464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AE564C" w:rsidRPr="00240246" w:rsidRDefault="00AE564C">
            <w:pPr>
              <w:pStyle w:val="Standard"/>
              <w:rPr>
                <w:b/>
                <w:sz w:val="12"/>
                <w:szCs w:val="12"/>
              </w:rPr>
            </w:pPr>
          </w:p>
          <w:p w:rsidR="00AE564C" w:rsidRDefault="00407462">
            <w:pPr>
              <w:pStyle w:val="Standard"/>
              <w:jc w:val="center"/>
              <w:rPr>
                <w:b/>
                <w:sz w:val="36"/>
                <w:szCs w:val="36"/>
              </w:rPr>
            </w:pPr>
            <w:r>
              <w:rPr>
                <w:b/>
                <w:sz w:val="36"/>
                <w:szCs w:val="36"/>
              </w:rPr>
              <w:t>Actions: Next Steps</w:t>
            </w:r>
          </w:p>
          <w:p w:rsidR="00AE564C" w:rsidRDefault="00AE564C">
            <w:pPr>
              <w:pStyle w:val="Standard"/>
              <w:jc w:val="center"/>
              <w:rPr>
                <w:sz w:val="16"/>
                <w:szCs w:val="16"/>
              </w:rPr>
            </w:pPr>
          </w:p>
          <w:p w:rsidR="00AE564C" w:rsidRDefault="00407462">
            <w:pPr>
              <w:pStyle w:val="Standard"/>
              <w:jc w:val="center"/>
              <w:rPr>
                <w:sz w:val="18"/>
                <w:szCs w:val="18"/>
              </w:rPr>
            </w:pPr>
            <w:r>
              <w:rPr>
                <w:sz w:val="18"/>
                <w:szCs w:val="18"/>
              </w:rPr>
              <w:t>(i.e. is there a strategic group that can monitor any future actions)</w:t>
            </w:r>
          </w:p>
          <w:p w:rsidR="00AE564C" w:rsidRPr="00240246" w:rsidRDefault="00AE564C">
            <w:pPr>
              <w:pStyle w:val="Standard"/>
              <w:ind w:firstLine="360"/>
              <w:rPr>
                <w:sz w:val="10"/>
                <w:szCs w:val="10"/>
              </w:rPr>
            </w:pPr>
          </w:p>
        </w:tc>
      </w:tr>
      <w:tr w:rsidR="00AE564C" w:rsidTr="00240246">
        <w:tc>
          <w:tcPr>
            <w:tcW w:w="5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AE564C" w:rsidRPr="00240246" w:rsidRDefault="00AE564C">
            <w:pPr>
              <w:pStyle w:val="Standard"/>
              <w:rPr>
                <w:b/>
                <w:sz w:val="16"/>
                <w:szCs w:val="16"/>
              </w:rPr>
            </w:pPr>
          </w:p>
          <w:p w:rsidR="00AE564C" w:rsidRDefault="00407462">
            <w:pPr>
              <w:pStyle w:val="Standard"/>
              <w:rPr>
                <w:b/>
                <w:sz w:val="22"/>
                <w:szCs w:val="22"/>
              </w:rPr>
            </w:pPr>
            <w:r>
              <w:rPr>
                <w:b/>
                <w:sz w:val="22"/>
                <w:szCs w:val="22"/>
              </w:rPr>
              <w:t>Further Action Required/ Action To Be Undertaken</w:t>
            </w:r>
          </w:p>
          <w:p w:rsidR="00AE564C" w:rsidRPr="00240246" w:rsidRDefault="00AE564C">
            <w:pPr>
              <w:pStyle w:val="Standard"/>
              <w:rPr>
                <w:b/>
                <w:sz w:val="6"/>
                <w:szCs w:val="6"/>
              </w:rPr>
            </w:pPr>
          </w:p>
        </w:tc>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AE564C" w:rsidRPr="00240246" w:rsidRDefault="00AE564C">
            <w:pPr>
              <w:pStyle w:val="Standard"/>
              <w:rPr>
                <w:b/>
                <w:sz w:val="16"/>
                <w:szCs w:val="16"/>
              </w:rPr>
            </w:pPr>
          </w:p>
          <w:p w:rsidR="00AE564C" w:rsidRDefault="00407462">
            <w:pPr>
              <w:pStyle w:val="Standard"/>
              <w:rPr>
                <w:b/>
                <w:sz w:val="22"/>
                <w:szCs w:val="22"/>
              </w:rPr>
            </w:pPr>
            <w:r>
              <w:rPr>
                <w:b/>
                <w:sz w:val="22"/>
                <w:szCs w:val="22"/>
              </w:rPr>
              <w:t>Lead Officer and/or</w:t>
            </w:r>
          </w:p>
          <w:p w:rsidR="00AE564C" w:rsidRDefault="00407462">
            <w:pPr>
              <w:pStyle w:val="Standard"/>
              <w:rPr>
                <w:b/>
                <w:sz w:val="22"/>
                <w:szCs w:val="22"/>
              </w:rPr>
            </w:pPr>
            <w:r>
              <w:rPr>
                <w:b/>
                <w:sz w:val="22"/>
                <w:szCs w:val="22"/>
              </w:rPr>
              <w:t>Lead Strategic Group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AE564C" w:rsidRPr="00240246" w:rsidRDefault="00AE564C">
            <w:pPr>
              <w:pStyle w:val="Standard"/>
              <w:rPr>
                <w:b/>
                <w:sz w:val="16"/>
                <w:szCs w:val="16"/>
              </w:rPr>
            </w:pPr>
          </w:p>
          <w:p w:rsidR="00AE564C" w:rsidRDefault="00407462">
            <w:pPr>
              <w:pStyle w:val="Standard"/>
              <w:rPr>
                <w:b/>
                <w:sz w:val="22"/>
                <w:szCs w:val="22"/>
              </w:rPr>
            </w:pPr>
            <w:r>
              <w:rPr>
                <w:b/>
                <w:sz w:val="22"/>
                <w:szCs w:val="22"/>
              </w:rPr>
              <w:t>Timescale for Resolution of Negative Impact (s) / Delivery of Positive Impact (s)</w:t>
            </w:r>
          </w:p>
          <w:p w:rsidR="00AE564C" w:rsidRPr="00240246" w:rsidRDefault="00AE564C">
            <w:pPr>
              <w:pStyle w:val="Standard"/>
              <w:rPr>
                <w:b/>
                <w:sz w:val="6"/>
                <w:szCs w:val="6"/>
              </w:rPr>
            </w:pPr>
          </w:p>
        </w:tc>
      </w:tr>
      <w:tr w:rsidR="00AE564C" w:rsidTr="00240246">
        <w:trPr>
          <w:trHeight w:val="884"/>
        </w:trPr>
        <w:tc>
          <w:tcPr>
            <w:tcW w:w="5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Monitoring of participants’ observance of the social distancing rules applicable to outdoor recreation in Scotland ( 28/5/20)</w:t>
            </w:r>
          </w:p>
          <w:p w:rsidR="00AE564C" w:rsidRDefault="00AE564C">
            <w:pPr>
              <w:pStyle w:val="Standard"/>
              <w:rPr>
                <w:sz w:val="22"/>
                <w:szCs w:val="22"/>
              </w:rPr>
            </w:pPr>
          </w:p>
          <w:p w:rsidR="00AE564C" w:rsidRDefault="00407462">
            <w:pPr>
              <w:pStyle w:val="Standard"/>
              <w:rPr>
                <w:sz w:val="22"/>
                <w:szCs w:val="22"/>
              </w:rPr>
            </w:pPr>
            <w:r>
              <w:rPr>
                <w:sz w:val="22"/>
                <w:szCs w:val="22"/>
              </w:rPr>
              <w:t>Continual monitoring of the lockdown rules to enable changes in operation in line with these as they change over time</w:t>
            </w:r>
          </w:p>
          <w:p w:rsidR="00AE564C" w:rsidRDefault="00AE564C">
            <w:pPr>
              <w:pStyle w:val="Standard"/>
              <w:rPr>
                <w:sz w:val="22"/>
                <w:szCs w:val="22"/>
              </w:rPr>
            </w:pPr>
          </w:p>
          <w:p w:rsidR="00AE564C" w:rsidRDefault="00407462">
            <w:pPr>
              <w:pStyle w:val="Standard"/>
              <w:rPr>
                <w:sz w:val="22"/>
                <w:szCs w:val="22"/>
              </w:rPr>
            </w:pPr>
            <w:r>
              <w:rPr>
                <w:sz w:val="22"/>
                <w:szCs w:val="22"/>
              </w:rPr>
              <w:t>Pregnant women will be advised to follow public health guidance on social distancing as this becomes more available</w:t>
            </w:r>
          </w:p>
          <w:p w:rsidR="00AE564C" w:rsidRDefault="00AE564C">
            <w:pPr>
              <w:pStyle w:val="Standard"/>
              <w:rPr>
                <w:sz w:val="22"/>
                <w:szCs w:val="22"/>
              </w:rPr>
            </w:pPr>
          </w:p>
          <w:p w:rsidR="00AE564C" w:rsidRDefault="00407462">
            <w:pPr>
              <w:pStyle w:val="Standard"/>
              <w:rPr>
                <w:sz w:val="22"/>
                <w:szCs w:val="22"/>
              </w:rPr>
            </w:pPr>
            <w:r>
              <w:rPr>
                <w:sz w:val="22"/>
                <w:szCs w:val="22"/>
              </w:rPr>
              <w:t>Venue recovery plan to be considered as a working document and be reviewed every 2 weeks (or more frequently as required) in line with emerging guidance from UK/Scottish Government and Public Health authorities.</w:t>
            </w:r>
          </w:p>
          <w:p w:rsidR="00AE564C" w:rsidRDefault="00AE564C">
            <w:pPr>
              <w:pStyle w:val="Standard"/>
              <w:rPr>
                <w:sz w:val="22"/>
                <w:szCs w:val="22"/>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Sports Operations</w:t>
            </w:r>
          </w:p>
          <w:p w:rsidR="00AE564C" w:rsidRDefault="00AE564C">
            <w:pPr>
              <w:pStyle w:val="Standard"/>
              <w:rPr>
                <w:sz w:val="22"/>
                <w:szCs w:val="22"/>
              </w:rPr>
            </w:pPr>
          </w:p>
          <w:p w:rsidR="00AE564C" w:rsidRDefault="00AE564C">
            <w:pPr>
              <w:pStyle w:val="Standard"/>
              <w:rPr>
                <w:sz w:val="22"/>
                <w:szCs w:val="22"/>
              </w:rPr>
            </w:pPr>
          </w:p>
          <w:p w:rsidR="00AE564C" w:rsidRDefault="00AE564C">
            <w:pPr>
              <w:pStyle w:val="Standard"/>
              <w:rPr>
                <w:sz w:val="22"/>
                <w:szCs w:val="22"/>
              </w:rPr>
            </w:pPr>
          </w:p>
          <w:p w:rsidR="00AE564C" w:rsidRDefault="00407462">
            <w:pPr>
              <w:pStyle w:val="Standard"/>
              <w:rPr>
                <w:sz w:val="22"/>
                <w:szCs w:val="22"/>
              </w:rPr>
            </w:pPr>
            <w:r>
              <w:rPr>
                <w:sz w:val="22"/>
                <w:szCs w:val="22"/>
              </w:rPr>
              <w:t>Sports Operations</w:t>
            </w:r>
          </w:p>
          <w:p w:rsidR="00AE564C" w:rsidRDefault="00AE564C">
            <w:pPr>
              <w:pStyle w:val="Standard"/>
              <w:rPr>
                <w:sz w:val="22"/>
                <w:szCs w:val="22"/>
              </w:rPr>
            </w:pPr>
          </w:p>
          <w:p w:rsidR="00AE564C" w:rsidRDefault="00AE564C">
            <w:pPr>
              <w:pStyle w:val="Standard"/>
              <w:rPr>
                <w:sz w:val="22"/>
                <w:szCs w:val="22"/>
              </w:rPr>
            </w:pPr>
          </w:p>
          <w:p w:rsidR="00AE564C" w:rsidRDefault="00AE564C">
            <w:pPr>
              <w:pStyle w:val="Standard"/>
              <w:rPr>
                <w:sz w:val="22"/>
                <w:szCs w:val="22"/>
              </w:rPr>
            </w:pPr>
          </w:p>
          <w:p w:rsidR="00AE564C" w:rsidRDefault="00407462">
            <w:pPr>
              <w:pStyle w:val="Standard"/>
              <w:rPr>
                <w:sz w:val="22"/>
                <w:szCs w:val="22"/>
              </w:rPr>
            </w:pPr>
            <w:r>
              <w:rPr>
                <w:sz w:val="22"/>
                <w:szCs w:val="22"/>
              </w:rPr>
              <w:t>Sports Operations</w:t>
            </w:r>
          </w:p>
          <w:p w:rsidR="00AE564C" w:rsidRDefault="00AE564C">
            <w:pPr>
              <w:pStyle w:val="Standard"/>
              <w:rPr>
                <w:sz w:val="22"/>
                <w:szCs w:val="22"/>
              </w:rPr>
            </w:pPr>
          </w:p>
          <w:p w:rsidR="00AE564C" w:rsidRDefault="00AE564C">
            <w:pPr>
              <w:pStyle w:val="Standard"/>
              <w:rPr>
                <w:sz w:val="22"/>
                <w:szCs w:val="22"/>
              </w:rPr>
            </w:pPr>
          </w:p>
          <w:p w:rsidR="00AE564C" w:rsidRDefault="00AE564C">
            <w:pPr>
              <w:pStyle w:val="Standard"/>
              <w:rPr>
                <w:sz w:val="22"/>
                <w:szCs w:val="22"/>
              </w:rPr>
            </w:pPr>
          </w:p>
          <w:p w:rsidR="00AE564C" w:rsidRDefault="00407462">
            <w:pPr>
              <w:pStyle w:val="Standard"/>
              <w:rPr>
                <w:sz w:val="22"/>
                <w:szCs w:val="22"/>
              </w:rPr>
            </w:pPr>
            <w:r>
              <w:rPr>
                <w:sz w:val="22"/>
                <w:szCs w:val="22"/>
              </w:rPr>
              <w:t>Infrastructure Support</w:t>
            </w:r>
          </w:p>
          <w:p w:rsidR="00AE564C" w:rsidRDefault="00AE564C">
            <w:pPr>
              <w:pStyle w:val="Standard"/>
              <w:rPr>
                <w:sz w:val="22"/>
                <w:szCs w:val="22"/>
              </w:rPr>
            </w:pPr>
          </w:p>
          <w:p w:rsidR="00AE564C" w:rsidRDefault="00407462">
            <w:pPr>
              <w:pStyle w:val="Standard"/>
              <w:rPr>
                <w:sz w:val="22"/>
                <w:szCs w:val="22"/>
              </w:rPr>
            </w:pPr>
            <w:r>
              <w:rPr>
                <w:sz w:val="22"/>
                <w:szCs w:val="22"/>
              </w:rPr>
              <w:t>HR and Health and Safety to be involved in a working group that reviews and adapts the workplace arrangements regularly</w:t>
            </w:r>
          </w:p>
          <w:p w:rsidR="00AE564C" w:rsidRDefault="00AE564C">
            <w:pPr>
              <w:pStyle w:val="Standard"/>
              <w:rPr>
                <w:sz w:val="22"/>
                <w:szCs w:val="22"/>
              </w:rPr>
            </w:pPr>
          </w:p>
          <w:p w:rsidR="00AE564C" w:rsidRDefault="00407462">
            <w:pPr>
              <w:pStyle w:val="Standard"/>
              <w:rPr>
                <w:sz w:val="22"/>
                <w:szCs w:val="22"/>
              </w:rPr>
            </w:pPr>
            <w:r>
              <w:rPr>
                <w:sz w:val="22"/>
                <w:szCs w:val="22"/>
              </w:rPr>
              <w:t>Building Transitions Group</w:t>
            </w:r>
          </w:p>
          <w:p w:rsidR="00AE564C" w:rsidRDefault="00AE564C">
            <w:pPr>
              <w:pStyle w:val="Standard"/>
              <w:rPr>
                <w:sz w:val="22"/>
                <w:szCs w:val="22"/>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E564C" w:rsidRDefault="00407462">
            <w:pPr>
              <w:pStyle w:val="Standard"/>
              <w:rPr>
                <w:sz w:val="22"/>
                <w:szCs w:val="22"/>
              </w:rPr>
            </w:pPr>
            <w:r>
              <w:rPr>
                <w:sz w:val="22"/>
                <w:szCs w:val="22"/>
              </w:rPr>
              <w:t>Ongoing from facility opening</w:t>
            </w:r>
          </w:p>
          <w:p w:rsidR="00AE564C" w:rsidRDefault="00AE564C">
            <w:pPr>
              <w:pStyle w:val="Standard"/>
              <w:rPr>
                <w:sz w:val="22"/>
                <w:szCs w:val="22"/>
              </w:rPr>
            </w:pPr>
          </w:p>
          <w:p w:rsidR="00AE564C" w:rsidRDefault="00AE564C">
            <w:pPr>
              <w:pStyle w:val="Standard"/>
              <w:rPr>
                <w:sz w:val="22"/>
                <w:szCs w:val="22"/>
              </w:rPr>
            </w:pPr>
          </w:p>
          <w:p w:rsidR="00AE564C" w:rsidRDefault="00AE564C">
            <w:pPr>
              <w:pStyle w:val="Standard"/>
              <w:rPr>
                <w:sz w:val="22"/>
                <w:szCs w:val="22"/>
              </w:rPr>
            </w:pPr>
          </w:p>
          <w:p w:rsidR="00AE564C" w:rsidRDefault="00407462">
            <w:pPr>
              <w:pStyle w:val="Standard"/>
              <w:rPr>
                <w:sz w:val="22"/>
                <w:szCs w:val="22"/>
              </w:rPr>
            </w:pPr>
            <w:r>
              <w:rPr>
                <w:sz w:val="22"/>
                <w:szCs w:val="22"/>
              </w:rPr>
              <w:t>Ongoing</w:t>
            </w:r>
          </w:p>
          <w:p w:rsidR="00AE564C" w:rsidRDefault="00AE564C">
            <w:pPr>
              <w:pStyle w:val="Standard"/>
              <w:rPr>
                <w:sz w:val="22"/>
                <w:szCs w:val="22"/>
              </w:rPr>
            </w:pPr>
          </w:p>
          <w:p w:rsidR="00AE564C" w:rsidRDefault="00AE564C">
            <w:pPr>
              <w:pStyle w:val="Standard"/>
              <w:rPr>
                <w:sz w:val="22"/>
                <w:szCs w:val="22"/>
              </w:rPr>
            </w:pPr>
          </w:p>
          <w:p w:rsidR="00AE564C" w:rsidRDefault="00AE564C">
            <w:pPr>
              <w:pStyle w:val="Standard"/>
              <w:rPr>
                <w:sz w:val="22"/>
                <w:szCs w:val="22"/>
              </w:rPr>
            </w:pPr>
          </w:p>
          <w:p w:rsidR="00AE564C" w:rsidRDefault="00407462">
            <w:pPr>
              <w:pStyle w:val="Standard"/>
              <w:rPr>
                <w:sz w:val="22"/>
                <w:szCs w:val="22"/>
              </w:rPr>
            </w:pPr>
            <w:r>
              <w:rPr>
                <w:sz w:val="22"/>
                <w:szCs w:val="22"/>
              </w:rPr>
              <w:t>Ongoing</w:t>
            </w:r>
            <w:bookmarkStart w:id="0" w:name="_GoBack"/>
          </w:p>
          <w:p w:rsidR="00AE564C" w:rsidRDefault="00AE564C">
            <w:pPr>
              <w:pStyle w:val="Standard"/>
              <w:rPr>
                <w:sz w:val="22"/>
                <w:szCs w:val="22"/>
              </w:rPr>
            </w:pPr>
          </w:p>
          <w:p w:rsidR="00AE564C" w:rsidRDefault="00AE564C">
            <w:pPr>
              <w:pStyle w:val="Standard"/>
              <w:rPr>
                <w:sz w:val="22"/>
                <w:szCs w:val="22"/>
              </w:rPr>
            </w:pPr>
          </w:p>
          <w:p w:rsidR="00AE564C" w:rsidRDefault="00AE564C">
            <w:pPr>
              <w:pStyle w:val="Standard"/>
              <w:rPr>
                <w:sz w:val="22"/>
                <w:szCs w:val="22"/>
              </w:rPr>
            </w:pPr>
          </w:p>
          <w:bookmarkEnd w:id="0"/>
          <w:p w:rsidR="00AE564C" w:rsidRDefault="00407462">
            <w:pPr>
              <w:pStyle w:val="Standard"/>
              <w:rPr>
                <w:sz w:val="22"/>
                <w:szCs w:val="22"/>
              </w:rPr>
            </w:pPr>
            <w:r>
              <w:rPr>
                <w:sz w:val="22"/>
                <w:szCs w:val="22"/>
              </w:rPr>
              <w:t>Ongoing</w:t>
            </w:r>
          </w:p>
          <w:p w:rsidR="00AE564C" w:rsidRDefault="00AE564C">
            <w:pPr>
              <w:pStyle w:val="Standard"/>
              <w:rPr>
                <w:sz w:val="22"/>
                <w:szCs w:val="22"/>
              </w:rPr>
            </w:pPr>
          </w:p>
          <w:p w:rsidR="00AE564C" w:rsidRDefault="00407462">
            <w:pPr>
              <w:pStyle w:val="Standard"/>
              <w:rPr>
                <w:sz w:val="22"/>
                <w:szCs w:val="22"/>
              </w:rPr>
            </w:pPr>
            <w:r>
              <w:rPr>
                <w:sz w:val="22"/>
                <w:szCs w:val="22"/>
              </w:rPr>
              <w:t>Suggest weekly meeting of a working group comprising Infrastructure Support, HR and Health and Safety.</w:t>
            </w:r>
          </w:p>
          <w:p w:rsidR="00AE564C" w:rsidRDefault="00AE564C">
            <w:pPr>
              <w:pStyle w:val="Standard"/>
              <w:rPr>
                <w:sz w:val="22"/>
                <w:szCs w:val="22"/>
              </w:rPr>
            </w:pPr>
          </w:p>
          <w:p w:rsidR="00AE564C" w:rsidRDefault="00AE564C">
            <w:pPr>
              <w:pStyle w:val="Standard"/>
              <w:rPr>
                <w:sz w:val="22"/>
                <w:szCs w:val="22"/>
              </w:rPr>
            </w:pPr>
          </w:p>
          <w:p w:rsidR="00AE564C" w:rsidRDefault="00407462">
            <w:pPr>
              <w:pStyle w:val="Standard"/>
              <w:rPr>
                <w:sz w:val="22"/>
                <w:szCs w:val="22"/>
              </w:rPr>
            </w:pPr>
            <w:r>
              <w:rPr>
                <w:sz w:val="22"/>
                <w:szCs w:val="22"/>
              </w:rPr>
              <w:t>Building Transitions Group has now been convened as of 26/05/20 and meets regularly on a Tuesday</w:t>
            </w:r>
          </w:p>
          <w:p w:rsidR="00AE564C" w:rsidRDefault="00AE564C">
            <w:pPr>
              <w:pStyle w:val="Standard"/>
              <w:rPr>
                <w:sz w:val="22"/>
                <w:szCs w:val="22"/>
              </w:rPr>
            </w:pPr>
          </w:p>
        </w:tc>
      </w:tr>
    </w:tbl>
    <w:p w:rsidR="00AE564C" w:rsidRPr="00240246" w:rsidRDefault="00AE564C">
      <w:pPr>
        <w:pStyle w:val="Standard"/>
        <w:ind w:firstLine="426"/>
        <w:rPr>
          <w:sz w:val="16"/>
          <w:szCs w:val="16"/>
        </w:rPr>
      </w:pPr>
    </w:p>
    <w:p w:rsidR="00AE564C" w:rsidRDefault="00407462" w:rsidP="00240246">
      <w:pPr>
        <w:pStyle w:val="Standard"/>
        <w:pBdr>
          <w:top w:val="single" w:sz="4" w:space="1" w:color="000000"/>
          <w:left w:val="single" w:sz="4" w:space="4" w:color="000000"/>
          <w:bottom w:val="single" w:sz="4" w:space="1" w:color="000000"/>
          <w:right w:val="single" w:sz="4" w:space="23" w:color="000000"/>
        </w:pBdr>
        <w:ind w:left="426"/>
        <w:jc w:val="center"/>
        <w:rPr>
          <w:b/>
          <w:sz w:val="36"/>
          <w:szCs w:val="36"/>
        </w:rPr>
      </w:pPr>
      <w:r>
        <w:rPr>
          <w:b/>
          <w:sz w:val="36"/>
          <w:szCs w:val="36"/>
        </w:rPr>
        <w:t>Public Reporting</w:t>
      </w:r>
    </w:p>
    <w:p w:rsidR="00AE564C" w:rsidRDefault="00AE564C" w:rsidP="00240246">
      <w:pPr>
        <w:pStyle w:val="Standard"/>
        <w:pBdr>
          <w:top w:val="single" w:sz="4" w:space="1" w:color="000000"/>
          <w:left w:val="single" w:sz="4" w:space="4" w:color="000000"/>
          <w:bottom w:val="single" w:sz="4" w:space="1" w:color="000000"/>
          <w:right w:val="single" w:sz="4" w:space="23" w:color="000000"/>
        </w:pBdr>
        <w:ind w:left="426"/>
        <w:rPr>
          <w:sz w:val="22"/>
          <w:szCs w:val="22"/>
        </w:rPr>
      </w:pPr>
    </w:p>
    <w:p w:rsidR="00AE564C" w:rsidRDefault="00407462" w:rsidP="00240246">
      <w:pPr>
        <w:pStyle w:val="Standard"/>
        <w:pBdr>
          <w:top w:val="single" w:sz="4" w:space="1" w:color="000000"/>
          <w:left w:val="single" w:sz="4" w:space="4" w:color="000000"/>
          <w:bottom w:val="single" w:sz="4" w:space="1" w:color="000000"/>
          <w:right w:val="single" w:sz="4" w:space="23" w:color="000000"/>
        </w:pBdr>
        <w:ind w:left="426"/>
        <w:rPr>
          <w:b/>
          <w:sz w:val="22"/>
          <w:szCs w:val="22"/>
        </w:rPr>
      </w:pPr>
      <w:r>
        <w:rPr>
          <w:sz w:val="22"/>
          <w:szCs w:val="22"/>
        </w:rPr>
        <w:t xml:space="preserve">All completed EQIA Screenings are required to be publicly available on the </w:t>
      </w:r>
      <w:hyperlink r:id="rId19" w:history="1">
        <w:r>
          <w:rPr>
            <w:color w:val="0000FF"/>
            <w:sz w:val="22"/>
            <w:szCs w:val="22"/>
            <w:u w:val="single"/>
          </w:rPr>
          <w:t>Council EQIA Webpage</w:t>
        </w:r>
      </w:hyperlink>
      <w:r>
        <w:rPr>
          <w:sz w:val="22"/>
          <w:szCs w:val="22"/>
        </w:rPr>
        <w:t xml:space="preserve"> once they have been signed off by the relevant manager, and/or Strategic, Policy, or Operational Group. (See </w:t>
      </w:r>
      <w:hyperlink r:id="rId20" w:history="1">
        <w:r>
          <w:rPr>
            <w:color w:val="0000FF"/>
            <w:sz w:val="22"/>
            <w:szCs w:val="22"/>
            <w:u w:val="single"/>
          </w:rPr>
          <w:t>EQIA Guidance</w:t>
        </w:r>
      </w:hyperlink>
      <w:r>
        <w:rPr>
          <w:sz w:val="22"/>
          <w:szCs w:val="22"/>
        </w:rPr>
        <w:t>: Pgs. 11-12)</w:t>
      </w:r>
    </w:p>
    <w:sectPr w:rsidR="00AE564C">
      <w:headerReference w:type="default" r:id="rId21"/>
      <w:footerReference w:type="default" r:id="rId22"/>
      <w:pgSz w:w="16838" w:h="11906"/>
      <w:pgMar w:top="851" w:right="1440"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FF" w:rsidRDefault="00407462">
      <w:r>
        <w:separator/>
      </w:r>
    </w:p>
  </w:endnote>
  <w:endnote w:type="continuationSeparator" w:id="0">
    <w:p w:rsidR="00C57BFF" w:rsidRDefault="0040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F1" w:rsidRDefault="00407462">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F1" w:rsidRDefault="00407462">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F1" w:rsidRDefault="00407462">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F1" w:rsidRDefault="00407462">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FF" w:rsidRDefault="00407462">
      <w:r>
        <w:rPr>
          <w:color w:val="000000"/>
        </w:rPr>
        <w:separator/>
      </w:r>
    </w:p>
  </w:footnote>
  <w:footnote w:type="continuationSeparator" w:id="0">
    <w:p w:rsidR="00C57BFF" w:rsidRDefault="0040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F1" w:rsidRDefault="00407462" w:rsidP="00185EAC">
    <w:pPr>
      <w:pStyle w:val="Standard"/>
      <w:widowControl/>
      <w:tabs>
        <w:tab w:val="left" w:pos="825"/>
        <w:tab w:val="center" w:pos="4153"/>
        <w:tab w:val="right" w:pos="8306"/>
        <w:tab w:val="right" w:pos="14547"/>
      </w:tabs>
      <w:jc w:val="right"/>
      <w:rPr>
        <w:b/>
        <w:color w:val="000000"/>
      </w:rPr>
    </w:pPr>
    <w:r>
      <w:rPr>
        <w:b/>
        <w:color w:val="000000"/>
      </w:rPr>
      <w:t>EQIA Screening Form</w:t>
    </w:r>
  </w:p>
  <w:p w:rsidR="008E5EF1" w:rsidRDefault="00240246">
    <w:pPr>
      <w:pStyle w:val="Standard"/>
      <w:widowControl/>
      <w:tabs>
        <w:tab w:val="center" w:pos="4153"/>
        <w:tab w:val="right" w:pos="8306"/>
      </w:tabs>
      <w:jc w:val="right"/>
      <w:rPr>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F1" w:rsidRDefault="00407462" w:rsidP="00185EAC">
    <w:pPr>
      <w:pStyle w:val="Standard"/>
      <w:widowControl/>
      <w:tabs>
        <w:tab w:val="left" w:pos="825"/>
        <w:tab w:val="center" w:pos="4153"/>
        <w:tab w:val="right" w:pos="8306"/>
        <w:tab w:val="right" w:pos="14547"/>
      </w:tabs>
      <w:jc w:val="right"/>
      <w:rPr>
        <w:b/>
        <w:color w:val="000000"/>
      </w:rPr>
    </w:pPr>
    <w:r>
      <w:rPr>
        <w:b/>
        <w:color w:val="000000"/>
      </w:rPr>
      <w:t>EQIA Screening Form</w:t>
    </w:r>
  </w:p>
  <w:p w:rsidR="008E5EF1" w:rsidRDefault="00240246">
    <w:pPr>
      <w:pStyle w:val="Standard"/>
      <w:widowControl/>
      <w:tabs>
        <w:tab w:val="center" w:pos="4153"/>
        <w:tab w:val="right" w:pos="8306"/>
      </w:tabs>
      <w:jc w:val="right"/>
      <w:rPr>
        <w:b/>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F1" w:rsidRDefault="00407462" w:rsidP="00185EAC">
    <w:pPr>
      <w:pStyle w:val="Standard"/>
      <w:widowControl/>
      <w:tabs>
        <w:tab w:val="left" w:pos="825"/>
        <w:tab w:val="center" w:pos="4153"/>
        <w:tab w:val="right" w:pos="8306"/>
        <w:tab w:val="right" w:pos="14547"/>
      </w:tabs>
      <w:jc w:val="right"/>
      <w:rPr>
        <w:b/>
        <w:color w:val="000000"/>
      </w:rPr>
    </w:pPr>
    <w:r>
      <w:rPr>
        <w:b/>
        <w:color w:val="000000"/>
      </w:rPr>
      <w:t>EQIA Screening Form</w:t>
    </w:r>
  </w:p>
  <w:p w:rsidR="008E5EF1" w:rsidRDefault="00240246">
    <w:pPr>
      <w:pStyle w:val="Standard"/>
      <w:widowControl/>
      <w:tabs>
        <w:tab w:val="center" w:pos="4153"/>
        <w:tab w:val="right" w:pos="8306"/>
      </w:tabs>
      <w:jc w:val="right"/>
      <w:rPr>
        <w:b/>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F1" w:rsidRDefault="00407462" w:rsidP="00240246">
    <w:pPr>
      <w:pStyle w:val="Standard"/>
      <w:widowControl/>
      <w:tabs>
        <w:tab w:val="left" w:pos="825"/>
        <w:tab w:val="center" w:pos="4153"/>
        <w:tab w:val="right" w:pos="8306"/>
        <w:tab w:val="right" w:pos="14547"/>
      </w:tabs>
      <w:jc w:val="right"/>
      <w:rPr>
        <w:b/>
        <w:color w:val="000000"/>
      </w:rPr>
    </w:pPr>
    <w:r>
      <w:rPr>
        <w:b/>
        <w:color w:val="000000"/>
      </w:rPr>
      <w:t>EQIA Screening Form</w:t>
    </w:r>
  </w:p>
  <w:p w:rsidR="008E5EF1" w:rsidRDefault="00240246">
    <w:pPr>
      <w:pStyle w:val="Standard"/>
      <w:widowControl/>
      <w:tabs>
        <w:tab w:val="center" w:pos="4153"/>
        <w:tab w:val="right" w:pos="8306"/>
      </w:tabs>
      <w:jc w:val="right"/>
      <w:rPr>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618"/>
    <w:multiLevelType w:val="multilevel"/>
    <w:tmpl w:val="B008C478"/>
    <w:styleLink w:val="WWNum5"/>
    <w:lvl w:ilvl="0">
      <w:numFmt w:val="bullet"/>
      <w:lvlText w:val="⮚"/>
      <w:lvlJc w:val="left"/>
      <w:pPr>
        <w:ind w:left="720" w:hanging="360"/>
      </w:pPr>
      <w:rPr>
        <w:sz w:val="22"/>
        <w:szCs w:val="22"/>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12A57D4D"/>
    <w:multiLevelType w:val="multilevel"/>
    <w:tmpl w:val="8DB0F9E6"/>
    <w:styleLink w:val="WWNum2"/>
    <w:lvl w:ilvl="0">
      <w:start w:val="1"/>
      <w:numFmt w:val="lowerLetter"/>
      <w:lvlText w:val="%1)"/>
      <w:lvlJc w:val="left"/>
      <w:pPr>
        <w:ind w:left="720" w:hanging="360"/>
      </w:pPr>
    </w:lvl>
    <w:lvl w:ilvl="1">
      <w:numFmt w:val="bullet"/>
      <w:lvlText w:val="●"/>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6655C9"/>
    <w:multiLevelType w:val="multilevel"/>
    <w:tmpl w:val="978AF406"/>
    <w:styleLink w:val="WWNum1"/>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D962C9"/>
    <w:multiLevelType w:val="multilevel"/>
    <w:tmpl w:val="E5769CA6"/>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8CE5400"/>
    <w:multiLevelType w:val="multilevel"/>
    <w:tmpl w:val="A95EF6BE"/>
    <w:styleLink w:val="WW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1"/>
    <w:lvlOverride w:ilvl="0">
      <w:startOverride w:val="1"/>
    </w:lvlOverride>
  </w:num>
  <w:num w:numId="7">
    <w:abstractNumId w:val="3"/>
    <w:lvlOverride w:ilvl="0">
      <w:startOverride w:val="1"/>
    </w:lvlOverride>
  </w:num>
  <w:num w:numId="8">
    <w:abstractNumId w:val="4"/>
    <w:lvlOverride w:ilvl="0">
      <w:startOverride w:val="2"/>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4C"/>
    <w:rsid w:val="00185EAC"/>
    <w:rsid w:val="00240246"/>
    <w:rsid w:val="00407462"/>
    <w:rsid w:val="00AE564C"/>
    <w:rsid w:val="00C5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5FD04A0-5C00-4F1F-854D-ECA7F076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outlineLvl w:val="0"/>
    </w:pPr>
    <w:rPr>
      <w:b/>
      <w:color w:val="000000"/>
    </w:rPr>
  </w:style>
  <w:style w:type="paragraph" w:styleId="Heading2">
    <w:name w:val="heading 2"/>
    <w:basedOn w:val="Normal"/>
    <w:next w:val="Standard"/>
    <w:pPr>
      <w:keepNext/>
      <w:outlineLvl w:val="1"/>
    </w:pPr>
    <w:rPr>
      <w:b/>
      <w:color w:val="000000"/>
      <w:sz w:val="22"/>
      <w:szCs w:val="22"/>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rPr>
  </w:style>
  <w:style w:type="paragraph" w:styleId="Heading5">
    <w:name w:val="heading 5"/>
    <w:basedOn w:val="Normal"/>
    <w:next w:val="Standard"/>
    <w:pPr>
      <w:keepNext/>
      <w:keepLines/>
      <w:spacing w:before="220" w:after="40"/>
      <w:outlineLvl w:val="4"/>
    </w:pPr>
    <w:rPr>
      <w:b/>
      <w:color w:val="000000"/>
      <w:sz w:val="22"/>
      <w:szCs w:val="22"/>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paragraph" w:customStyle="1" w:styleId="TableContents">
    <w:name w:val="Table Contents"/>
    <w:basedOn w:val="Standard"/>
    <w:pPr>
      <w:suppressLineNumbers/>
    </w:pPr>
  </w:style>
  <w:style w:type="character" w:customStyle="1" w:styleId="ListLabel1">
    <w:name w:val="ListLabel 1"/>
    <w:rPr>
      <w:rFonts w:eastAsia="Noto Sans Symbols" w:cs="Noto Sans Symbols"/>
      <w:sz w:val="22"/>
    </w:rPr>
  </w:style>
  <w:style w:type="character" w:customStyle="1" w:styleId="ListLabel2">
    <w:name w:val="ListLabel 2"/>
    <w:rPr>
      <w:rFonts w:eastAsia="Noto Sans Symbols" w:cs="Noto Sans Symbols"/>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sz w:val="22"/>
      <w:szCs w:val="22"/>
    </w:rPr>
  </w:style>
  <w:style w:type="character" w:customStyle="1" w:styleId="ListLabel8">
    <w:name w:val="ListLabel 8"/>
    <w:rPr>
      <w:i/>
      <w:color w:val="0000FF"/>
      <w:sz w:val="20"/>
      <w:szCs w:val="20"/>
      <w:u w:val="single"/>
    </w:rPr>
  </w:style>
  <w:style w:type="character" w:customStyle="1" w:styleId="Internetlink">
    <w:name w:val="Internet link"/>
    <w:rPr>
      <w:color w:val="000080"/>
      <w:u w:val="single"/>
    </w:rPr>
  </w:style>
  <w:style w:type="character" w:customStyle="1" w:styleId="ListLabel9">
    <w:name w:val="ListLabel 9"/>
    <w:rPr>
      <w:color w:val="0000FF"/>
      <w:sz w:val="20"/>
      <w:szCs w:val="20"/>
      <w:u w:val="single"/>
    </w:rPr>
  </w:style>
  <w:style w:type="character" w:customStyle="1" w:styleId="ListLabel10">
    <w:name w:val="ListLabel 10"/>
    <w:rPr>
      <w:color w:val="0000FF"/>
      <w:sz w:val="18"/>
      <w:szCs w:val="18"/>
      <w:u w:val="single"/>
    </w:rPr>
  </w:style>
  <w:style w:type="character" w:customStyle="1" w:styleId="ListLabel11">
    <w:name w:val="ListLabel 11"/>
    <w:rPr>
      <w:color w:val="0000FF"/>
      <w:sz w:val="22"/>
      <w:szCs w:val="22"/>
      <w:u w:val="single"/>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lasgowlife.org.uk/coronavirus-covid-19-latest-information" TargetMode="External"/><Relationship Id="rId13"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0" Type="http://schemas.openxmlformats.org/officeDocument/2006/relationships/hyperlink" Target="https://www.glasgow.gov.uk/index.aspx?articleid=17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lasgow.gov.uk/index.aspx?articleid=1753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A90E8DEE-7320-4BBD-8FD2-93281866FA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MacLean, Helen</dc:creator>
  <cp:keywords>[NOT OFFICIAL]</cp:keywords>
  <cp:lastModifiedBy>Speirs, Alan (Social Work)</cp:lastModifiedBy>
  <cp:revision>3</cp:revision>
  <dcterms:created xsi:type="dcterms:W3CDTF">2020-12-22T10:17:00Z</dcterms:created>
  <dcterms:modified xsi:type="dcterms:W3CDTF">2020-12-22T12:46:00Z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36175ef1-f069-4298-9188-fd4d62f69be1</vt:lpwstr>
  </property>
  <property fmtid="{D5CDD505-2E9C-101B-9397-08002B2CF9AE}" pid="3" name="bjSaver">
    <vt:lpwstr>sLcreUkfqQ2uNBHsmI2poqSHRCLIC+hF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