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716EFA" w:rsidRPr="002101EA" w:rsidRDefault="00716EFA" w:rsidP="00BA61E4">
      <w:pPr>
        <w:tabs>
          <w:tab w:val="left" w:pos="6062"/>
          <w:tab w:val="left" w:pos="11164"/>
          <w:tab w:val="left" w:pos="14580"/>
        </w:tabs>
        <w:ind w:left="-176"/>
        <w:rPr>
          <w:szCs w:val="24"/>
        </w:rPr>
      </w:pPr>
    </w:p>
    <w:p w:rsidR="0008714A" w:rsidRPr="002101EA" w:rsidRDefault="0008714A" w:rsidP="00BA61E4">
      <w:pPr>
        <w:tabs>
          <w:tab w:val="left" w:pos="6062"/>
          <w:tab w:val="left" w:pos="11164"/>
          <w:tab w:val="left" w:pos="14580"/>
        </w:tabs>
        <w:ind w:left="-176"/>
        <w:rPr>
          <w:szCs w:val="24"/>
        </w:rPr>
      </w:pP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default" r:id="rId9"/>
          <w:pgSz w:w="16838" w:h="11906" w:orient="landscape" w:code="9"/>
          <w:pgMar w:top="851" w:right="1440" w:bottom="1135" w:left="851" w:header="720" w:footer="720" w:gutter="0"/>
          <w:cols w:space="720"/>
        </w:sectPr>
      </w:pPr>
    </w:p>
    <w:p w:rsidR="00CE1909" w:rsidRPr="00F963B7" w:rsidRDefault="00CE1909" w:rsidP="00CE1909">
      <w:pPr>
        <w:tabs>
          <w:tab w:val="left" w:pos="6062"/>
          <w:tab w:val="left" w:pos="11164"/>
          <w:tab w:val="left" w:pos="15276"/>
        </w:tabs>
        <w:ind w:left="-176"/>
        <w:rPr>
          <w:sz w:val="12"/>
          <w:szCs w:val="1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Default="00BA61E4" w:rsidP="00BA61E4">
      <w:pPr>
        <w:tabs>
          <w:tab w:val="left" w:pos="6062"/>
          <w:tab w:val="left" w:pos="11164"/>
          <w:tab w:val="left" w:pos="15276"/>
        </w:tabs>
        <w:rPr>
          <w:sz w:val="22"/>
        </w:rPr>
      </w:pP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133DD" w:rsidRDefault="005133DD" w:rsidP="00C87613">
            <w:pPr>
              <w:tabs>
                <w:tab w:val="left" w:pos="6062"/>
                <w:tab w:val="left" w:pos="11164"/>
                <w:tab w:val="left" w:pos="15276"/>
              </w:tabs>
              <w:rPr>
                <w:sz w:val="22"/>
              </w:rPr>
            </w:pPr>
          </w:p>
          <w:p w:rsidR="0070001C" w:rsidRDefault="003F0FC9" w:rsidP="00C87613">
            <w:pPr>
              <w:tabs>
                <w:tab w:val="left" w:pos="6062"/>
                <w:tab w:val="left" w:pos="11164"/>
                <w:tab w:val="left" w:pos="15276"/>
              </w:tabs>
              <w:rPr>
                <w:sz w:val="22"/>
              </w:rPr>
            </w:pPr>
            <w:bookmarkStart w:id="0" w:name="_GoBack"/>
            <w:r>
              <w:rPr>
                <w:sz w:val="22"/>
              </w:rPr>
              <w:t>Education Appeals Committee (EAC).</w:t>
            </w:r>
          </w:p>
          <w:bookmarkEnd w:id="0"/>
          <w:p w:rsidR="0070001C" w:rsidRDefault="0070001C" w:rsidP="00C87613">
            <w:pPr>
              <w:tabs>
                <w:tab w:val="left" w:pos="6062"/>
                <w:tab w:val="left" w:pos="11164"/>
                <w:tab w:val="left" w:pos="15276"/>
              </w:tabs>
              <w:rPr>
                <w:sz w:val="22"/>
              </w:rPr>
            </w:pPr>
          </w:p>
          <w:p w:rsidR="00530518" w:rsidRPr="00C87613" w:rsidRDefault="0070001C" w:rsidP="00C87613">
            <w:pPr>
              <w:tabs>
                <w:tab w:val="left" w:pos="6062"/>
                <w:tab w:val="left" w:pos="11164"/>
                <w:tab w:val="left" w:pos="15276"/>
              </w:tabs>
              <w:rPr>
                <w:sz w:val="22"/>
              </w:rPr>
            </w:pPr>
            <w:r>
              <w:rPr>
                <w:sz w:val="22"/>
              </w:rPr>
              <w:t>Access to the committee and its decision-making in respect of appeals from parents/appellants regarding appeals against refusal of placing requests and exclusion of young people from educational establishments</w:t>
            </w:r>
            <w:r w:rsidR="00F64FF7">
              <w:rPr>
                <w:sz w:val="22"/>
              </w:rPr>
              <w:t>.</w:t>
            </w:r>
            <w:r w:rsidR="004D37AB">
              <w:rPr>
                <w:sz w:val="22"/>
              </w:rPr>
              <w:t xml:space="preserve">  Local Authorities have a statutory duty to deliver this service. </w:t>
            </w:r>
          </w:p>
          <w:p w:rsidR="00530518" w:rsidRPr="00C87613" w:rsidRDefault="00530518" w:rsidP="00C87613">
            <w:pPr>
              <w:tabs>
                <w:tab w:val="left" w:pos="6062"/>
                <w:tab w:val="left" w:pos="11164"/>
                <w:tab w:val="left" w:pos="15276"/>
              </w:tabs>
              <w:rPr>
                <w:sz w:val="22"/>
              </w:rPr>
            </w:pPr>
          </w:p>
        </w:tc>
      </w:tr>
    </w:tbl>
    <w:p w:rsidR="00CE1909" w:rsidRDefault="00CE1909" w:rsidP="00530518">
      <w:pPr>
        <w:tabs>
          <w:tab w:val="left" w:pos="6062"/>
          <w:tab w:val="left" w:pos="11164"/>
          <w:tab w:val="left" w:pos="15276"/>
        </w:tabs>
        <w:rPr>
          <w:sz w:val="2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163A6F">
        <w:trPr>
          <w:trHeight w:val="1111"/>
        </w:trPr>
        <w:tc>
          <w:tcPr>
            <w:tcW w:w="14295" w:type="dxa"/>
            <w:shd w:val="clear" w:color="auto" w:fill="auto"/>
          </w:tcPr>
          <w:p w:rsidR="00530518" w:rsidRDefault="00530518" w:rsidP="00C87613">
            <w:pPr>
              <w:tabs>
                <w:tab w:val="left" w:pos="6062"/>
                <w:tab w:val="left" w:pos="11164"/>
                <w:tab w:val="left" w:pos="15276"/>
              </w:tabs>
              <w:rPr>
                <w:sz w:val="22"/>
              </w:rPr>
            </w:pPr>
          </w:p>
          <w:p w:rsidR="005133DD" w:rsidRDefault="005133DD" w:rsidP="005133DD">
            <w:pPr>
              <w:tabs>
                <w:tab w:val="left" w:pos="6062"/>
                <w:tab w:val="left" w:pos="11164"/>
                <w:tab w:val="left" w:pos="15276"/>
              </w:tabs>
              <w:rPr>
                <w:sz w:val="22"/>
              </w:rPr>
            </w:pPr>
            <w:r>
              <w:rPr>
                <w:sz w:val="22"/>
              </w:rPr>
              <w:t>No change to existing procedure</w:t>
            </w:r>
            <w:r w:rsidR="004D37AB">
              <w:rPr>
                <w:sz w:val="22"/>
              </w:rPr>
              <w:t xml:space="preserve"> as such, however the committees are now to be held by video conference which requires a review</w:t>
            </w:r>
            <w:r>
              <w:rPr>
                <w:sz w:val="22"/>
              </w:rPr>
              <w:t xml:space="preserve">. </w:t>
            </w:r>
          </w:p>
          <w:p w:rsidR="0070001C" w:rsidRDefault="0070001C" w:rsidP="005133DD">
            <w:pPr>
              <w:tabs>
                <w:tab w:val="left" w:pos="6062"/>
                <w:tab w:val="left" w:pos="11164"/>
                <w:tab w:val="left" w:pos="15276"/>
              </w:tabs>
              <w:rPr>
                <w:sz w:val="22"/>
              </w:rPr>
            </w:pPr>
          </w:p>
          <w:p w:rsidR="00800439" w:rsidRDefault="00800439" w:rsidP="00800439">
            <w:pPr>
              <w:tabs>
                <w:tab w:val="left" w:pos="6062"/>
                <w:tab w:val="left" w:pos="11164"/>
                <w:tab w:val="left" w:pos="15276"/>
              </w:tabs>
              <w:rPr>
                <w:sz w:val="22"/>
              </w:rPr>
            </w:pPr>
            <w:r>
              <w:rPr>
                <w:sz w:val="22"/>
              </w:rPr>
              <w:t>The opportunity was undertaken to r</w:t>
            </w:r>
            <w:r w:rsidR="0070001C">
              <w:rPr>
                <w:sz w:val="22"/>
              </w:rPr>
              <w:t xml:space="preserve">eview the </w:t>
            </w:r>
            <w:r w:rsidR="004D37AB">
              <w:rPr>
                <w:sz w:val="22"/>
              </w:rPr>
              <w:t xml:space="preserve">process </w:t>
            </w:r>
            <w:r w:rsidR="0070001C">
              <w:rPr>
                <w:sz w:val="22"/>
              </w:rPr>
              <w:t xml:space="preserve">in the light of input from Legal Services </w:t>
            </w:r>
            <w:r>
              <w:rPr>
                <w:sz w:val="22"/>
              </w:rPr>
              <w:t>when co</w:t>
            </w:r>
            <w:r w:rsidR="0070001C">
              <w:rPr>
                <w:sz w:val="22"/>
              </w:rPr>
              <w:t>nsider</w:t>
            </w:r>
            <w:r>
              <w:rPr>
                <w:sz w:val="22"/>
              </w:rPr>
              <w:t>ing</w:t>
            </w:r>
            <w:r w:rsidR="0070001C">
              <w:rPr>
                <w:sz w:val="22"/>
              </w:rPr>
              <w:t xml:space="preserve"> the options</w:t>
            </w:r>
            <w:r>
              <w:rPr>
                <w:sz w:val="22"/>
              </w:rPr>
              <w:t xml:space="preserve"> to allow </w:t>
            </w:r>
            <w:r w:rsidR="003F0FC9">
              <w:rPr>
                <w:sz w:val="22"/>
              </w:rPr>
              <w:t xml:space="preserve">the EAC </w:t>
            </w:r>
            <w:r>
              <w:rPr>
                <w:sz w:val="22"/>
              </w:rPr>
              <w:t xml:space="preserve">to have </w:t>
            </w:r>
            <w:r w:rsidR="0070001C">
              <w:rPr>
                <w:sz w:val="22"/>
              </w:rPr>
              <w:t>remote hearings</w:t>
            </w:r>
            <w:r>
              <w:rPr>
                <w:sz w:val="22"/>
              </w:rPr>
              <w:t xml:space="preserve"> and ensure that the </w:t>
            </w:r>
            <w:r w:rsidR="0070001C">
              <w:rPr>
                <w:sz w:val="22"/>
              </w:rPr>
              <w:t>committee was fully accessible to all appellants</w:t>
            </w:r>
            <w:r w:rsidR="00F64FF7">
              <w:rPr>
                <w:sz w:val="22"/>
              </w:rPr>
              <w:t>,</w:t>
            </w:r>
            <w:r>
              <w:rPr>
                <w:sz w:val="22"/>
              </w:rPr>
              <w:t xml:space="preserve"> given the current restrictions</w:t>
            </w:r>
            <w:r w:rsidR="00F64FF7">
              <w:rPr>
                <w:sz w:val="22"/>
              </w:rPr>
              <w:t xml:space="preserve"> and in light of</w:t>
            </w:r>
            <w:r>
              <w:rPr>
                <w:sz w:val="22"/>
              </w:rPr>
              <w:t xml:space="preserve"> Scottish Government guidance </w:t>
            </w:r>
            <w:r w:rsidR="004D37AB">
              <w:rPr>
                <w:sz w:val="22"/>
              </w:rPr>
              <w:t>re</w:t>
            </w:r>
            <w:r>
              <w:rPr>
                <w:sz w:val="22"/>
              </w:rPr>
              <w:t xml:space="preserve"> the COVID-19 pandemic</w:t>
            </w:r>
            <w:r w:rsidR="00ED6D23">
              <w:rPr>
                <w:sz w:val="22"/>
              </w:rPr>
              <w:t>. It also allowed the team</w:t>
            </w:r>
            <w:r w:rsidR="006C3F43">
              <w:rPr>
                <w:sz w:val="22"/>
              </w:rPr>
              <w:t xml:space="preserve"> to consider future working arrangements.</w:t>
            </w:r>
          </w:p>
          <w:p w:rsidR="00800439" w:rsidRPr="00C87613" w:rsidRDefault="00800439" w:rsidP="00800439">
            <w:pPr>
              <w:tabs>
                <w:tab w:val="left" w:pos="6062"/>
                <w:tab w:val="left" w:pos="11164"/>
                <w:tab w:val="left" w:pos="15276"/>
              </w:tabs>
              <w:rPr>
                <w:sz w:val="22"/>
              </w:rPr>
            </w:pPr>
          </w:p>
        </w:tc>
      </w:tr>
    </w:tbl>
    <w:p w:rsidR="00163A6F" w:rsidRPr="00163A6F" w:rsidRDefault="00163A6F" w:rsidP="00163A6F">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5427A5">
        <w:trPr>
          <w:trHeight w:val="1111"/>
        </w:trPr>
        <w:tc>
          <w:tcPr>
            <w:tcW w:w="14295" w:type="dxa"/>
            <w:shd w:val="clear" w:color="auto" w:fill="auto"/>
          </w:tcPr>
          <w:p w:rsidR="005133DD" w:rsidRDefault="005133DD" w:rsidP="005427A5">
            <w:pPr>
              <w:tabs>
                <w:tab w:val="left" w:pos="6062"/>
                <w:tab w:val="left" w:pos="11164"/>
                <w:tab w:val="left" w:pos="15276"/>
              </w:tabs>
              <w:rPr>
                <w:sz w:val="22"/>
              </w:rPr>
            </w:pPr>
          </w:p>
          <w:p w:rsidR="00163A6F" w:rsidRDefault="005133DD" w:rsidP="005427A5">
            <w:pPr>
              <w:tabs>
                <w:tab w:val="left" w:pos="6062"/>
                <w:tab w:val="left" w:pos="11164"/>
                <w:tab w:val="left" w:pos="15276"/>
              </w:tabs>
              <w:rPr>
                <w:sz w:val="22"/>
              </w:rPr>
            </w:pPr>
            <w:r>
              <w:rPr>
                <w:sz w:val="22"/>
              </w:rPr>
              <w:t xml:space="preserve">The EAC is a quasi – judicial body </w:t>
            </w:r>
            <w:r w:rsidR="004D37AB">
              <w:rPr>
                <w:sz w:val="22"/>
              </w:rPr>
              <w:t xml:space="preserve">established by legislation, </w:t>
            </w:r>
            <w:r>
              <w:rPr>
                <w:sz w:val="22"/>
              </w:rPr>
              <w:t>whose terms of reference are to determine appeals</w:t>
            </w:r>
            <w:r w:rsidR="00F64FF7">
              <w:rPr>
                <w:sz w:val="22"/>
              </w:rPr>
              <w:t xml:space="preserve"> from parents and young persons </w:t>
            </w:r>
            <w:r>
              <w:rPr>
                <w:sz w:val="22"/>
              </w:rPr>
              <w:t>regarding (1) refusals by the education authority of placing requests made by parents for places in schools of their choice and (2) decisions to exclude children or young persons from school.</w:t>
            </w:r>
          </w:p>
          <w:p w:rsidR="005133DD" w:rsidRPr="00C87613" w:rsidRDefault="005133DD" w:rsidP="005427A5">
            <w:pPr>
              <w:tabs>
                <w:tab w:val="left" w:pos="6062"/>
                <w:tab w:val="left" w:pos="11164"/>
                <w:tab w:val="left" w:pos="15276"/>
              </w:tabs>
              <w:rPr>
                <w:sz w:val="22"/>
              </w:rPr>
            </w:pPr>
          </w:p>
        </w:tc>
      </w:tr>
    </w:tbl>
    <w:p w:rsidR="00BF5F46" w:rsidRDefault="00BF5F46"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Default="00530518" w:rsidP="00C87613">
            <w:pPr>
              <w:tabs>
                <w:tab w:val="left" w:pos="6062"/>
                <w:tab w:val="left" w:pos="11164"/>
                <w:tab w:val="left" w:pos="15276"/>
              </w:tabs>
              <w:rPr>
                <w:sz w:val="22"/>
              </w:rPr>
            </w:pPr>
          </w:p>
          <w:p w:rsidR="0011038C" w:rsidRPr="00C87613" w:rsidRDefault="0011038C" w:rsidP="00C87613">
            <w:pPr>
              <w:tabs>
                <w:tab w:val="left" w:pos="6062"/>
                <w:tab w:val="left" w:pos="11164"/>
                <w:tab w:val="left" w:pos="15276"/>
              </w:tabs>
              <w:rPr>
                <w:sz w:val="22"/>
              </w:rPr>
            </w:pPr>
            <w:r>
              <w:rPr>
                <w:sz w:val="22"/>
              </w:rPr>
              <w:t>Anne Marie Carr, Assistant Committee Services Manager.</w:t>
            </w:r>
          </w:p>
          <w:p w:rsidR="00530518" w:rsidRPr="00C87613" w:rsidRDefault="00530518" w:rsidP="00C87613">
            <w:pPr>
              <w:tabs>
                <w:tab w:val="left" w:pos="6062"/>
                <w:tab w:val="left" w:pos="11164"/>
                <w:tab w:val="left" w:pos="15276"/>
              </w:tabs>
              <w:rPr>
                <w:sz w:val="22"/>
              </w:rPr>
            </w:pPr>
          </w:p>
        </w:tc>
      </w:tr>
    </w:tbl>
    <w:p w:rsidR="00530518" w:rsidRDefault="00530518" w:rsidP="00CE1909">
      <w:pPr>
        <w:tabs>
          <w:tab w:val="left" w:pos="6062"/>
          <w:tab w:val="left" w:pos="11164"/>
          <w:tab w:val="left" w:pos="15276"/>
        </w:tabs>
        <w:ind w:left="720"/>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530518" w:rsidP="00C87613">
            <w:pPr>
              <w:tabs>
                <w:tab w:val="left" w:pos="6062"/>
                <w:tab w:val="left" w:pos="11164"/>
                <w:tab w:val="left" w:pos="15276"/>
              </w:tabs>
              <w:rPr>
                <w:sz w:val="22"/>
              </w:rPr>
            </w:pPr>
          </w:p>
          <w:p w:rsidR="00530518" w:rsidRPr="00C87613" w:rsidRDefault="00BF5F46" w:rsidP="00C87613">
            <w:pPr>
              <w:tabs>
                <w:tab w:val="left" w:pos="6062"/>
                <w:tab w:val="left" w:pos="11164"/>
                <w:tab w:val="left" w:pos="15276"/>
              </w:tabs>
              <w:rPr>
                <w:sz w:val="22"/>
              </w:rPr>
            </w:pPr>
            <w:r>
              <w:rPr>
                <w:sz w:val="22"/>
              </w:rPr>
              <w:t>Elaine Galletly, Head of Legal and Administration.</w:t>
            </w:r>
          </w:p>
        </w:tc>
      </w:tr>
    </w:tbl>
    <w:p w:rsidR="00CE1909" w:rsidRDefault="00CE1909" w:rsidP="00CE1909">
      <w:pPr>
        <w:tabs>
          <w:tab w:val="left" w:pos="6062"/>
          <w:tab w:val="left" w:pos="11164"/>
          <w:tab w:val="left" w:pos="15276"/>
        </w:tabs>
        <w:ind w:left="720"/>
        <w:rPr>
          <w:sz w:val="22"/>
        </w:rPr>
      </w:pPr>
    </w:p>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Default="00A403D7" w:rsidP="00A403D7">
      <w:pPr>
        <w:pStyle w:val="Heading1"/>
        <w:ind w:left="360"/>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D70CD6" w:rsidRDefault="00D70CD6" w:rsidP="00781F6A">
      <w:pPr>
        <w:ind w:left="360"/>
        <w:rPr>
          <w:sz w:val="22"/>
        </w:rPr>
      </w:pPr>
    </w:p>
    <w:p w:rsidR="00CE1909" w:rsidRDefault="00CE1909" w:rsidP="00CE1909">
      <w:pPr>
        <w:rPr>
          <w:sz w:val="22"/>
        </w:rPr>
      </w:pPr>
    </w:p>
    <w:tbl>
      <w:tblPr>
        <w:tblW w:w="1469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5"/>
        <w:gridCol w:w="5299"/>
        <w:gridCol w:w="1831"/>
      </w:tblGrid>
      <w:tr w:rsidR="00CE1909" w:rsidTr="00F963B7">
        <w:tblPrEx>
          <w:tblCellMar>
            <w:top w:w="0" w:type="dxa"/>
            <w:bottom w:w="0" w:type="dxa"/>
          </w:tblCellMar>
        </w:tblPrEx>
        <w:tc>
          <w:tcPr>
            <w:tcW w:w="7565" w:type="dxa"/>
            <w:shd w:val="clear" w:color="auto" w:fill="C0C0C0"/>
          </w:tcPr>
          <w:p w:rsidR="006D3284" w:rsidRDefault="006D3284" w:rsidP="0021793B">
            <w:pPr>
              <w:rPr>
                <w:b/>
                <w:sz w:val="22"/>
              </w:rPr>
            </w:pPr>
          </w:p>
          <w:p w:rsidR="00CE1909" w:rsidRPr="006D3284" w:rsidRDefault="00CE1909" w:rsidP="0021793B">
            <w:pPr>
              <w:rPr>
                <w:sz w:val="22"/>
              </w:rPr>
            </w:pPr>
            <w:r w:rsidRPr="006D3284">
              <w:rPr>
                <w:sz w:val="22"/>
              </w:rPr>
              <w:t>Please name any research, data, consultation or studies referred to for this assessment:</w:t>
            </w:r>
          </w:p>
        </w:tc>
        <w:tc>
          <w:tcPr>
            <w:tcW w:w="5299"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1831"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F963B7">
        <w:tblPrEx>
          <w:tblCellMar>
            <w:top w:w="0" w:type="dxa"/>
            <w:bottom w:w="0" w:type="dxa"/>
          </w:tblCellMar>
        </w:tblPrEx>
        <w:tc>
          <w:tcPr>
            <w:tcW w:w="7565" w:type="dxa"/>
          </w:tcPr>
          <w:p w:rsidR="00CE1909" w:rsidRDefault="00CE1909" w:rsidP="0021793B">
            <w:pPr>
              <w:rPr>
                <w:sz w:val="22"/>
              </w:rPr>
            </w:pPr>
          </w:p>
          <w:p w:rsidR="00CF2192" w:rsidRDefault="00C17814" w:rsidP="0021793B">
            <w:pPr>
              <w:rPr>
                <w:sz w:val="22"/>
              </w:rPr>
            </w:pPr>
            <w:r>
              <w:rPr>
                <w:sz w:val="22"/>
              </w:rPr>
              <w:t xml:space="preserve">The </w:t>
            </w:r>
            <w:r w:rsidR="00CF2192">
              <w:rPr>
                <w:sz w:val="22"/>
              </w:rPr>
              <w:t>Education Appeals Committee was established by the Council and approved its terms of reference on 17 May 2017</w:t>
            </w:r>
            <w:r w:rsidR="00295823">
              <w:rPr>
                <w:sz w:val="22"/>
              </w:rPr>
              <w:t>.</w:t>
            </w:r>
            <w:r w:rsidR="004D37AB">
              <w:rPr>
                <w:sz w:val="22"/>
              </w:rPr>
              <w:t xml:space="preserve">  </w:t>
            </w:r>
            <w:r w:rsidR="004D37AB" w:rsidRPr="00F766CD">
              <w:rPr>
                <w:sz w:val="22"/>
              </w:rPr>
              <w:t>Th</w:t>
            </w:r>
            <w:r w:rsidR="00F766CD" w:rsidRPr="000400C2">
              <w:rPr>
                <w:sz w:val="22"/>
              </w:rPr>
              <w:t>e</w:t>
            </w:r>
            <w:r w:rsidR="004D37AB" w:rsidRPr="00F766CD">
              <w:rPr>
                <w:sz w:val="22"/>
              </w:rPr>
              <w:t xml:space="preserve"> </w:t>
            </w:r>
            <w:r w:rsidR="00F766CD" w:rsidRPr="000400C2">
              <w:rPr>
                <w:sz w:val="22"/>
              </w:rPr>
              <w:t xml:space="preserve">establishment of the Committee </w:t>
            </w:r>
            <w:r w:rsidR="004D37AB" w:rsidRPr="00F766CD">
              <w:rPr>
                <w:sz w:val="22"/>
              </w:rPr>
              <w:t>conforms to legislation</w:t>
            </w:r>
            <w:r w:rsidR="00F766CD" w:rsidRPr="00F766CD">
              <w:rPr>
                <w:sz w:val="22"/>
              </w:rPr>
              <w:t>.</w:t>
            </w:r>
          </w:p>
          <w:p w:rsidR="00295823" w:rsidRDefault="00295823" w:rsidP="0021793B">
            <w:pPr>
              <w:rPr>
                <w:sz w:val="22"/>
              </w:rPr>
            </w:pPr>
          </w:p>
          <w:p w:rsidR="00295823" w:rsidRDefault="00373FA7" w:rsidP="0021793B">
            <w:pPr>
              <w:rPr>
                <w:sz w:val="22"/>
              </w:rPr>
            </w:pPr>
            <w:hyperlink r:id="rId10" w:history="1">
              <w:r w:rsidRPr="006E4A88">
                <w:rPr>
                  <w:rStyle w:val="Hyperlink"/>
                  <w:sz w:val="22"/>
                </w:rPr>
                <w:t>https://www.glasgow.gov.uk/councillorsandcommittees/submissiondocuments.asp?submissionid=83692</w:t>
              </w:r>
            </w:hyperlink>
          </w:p>
          <w:p w:rsidR="00874EAF" w:rsidRDefault="00373FA7" w:rsidP="0021793B">
            <w:pPr>
              <w:rPr>
                <w:sz w:val="22"/>
              </w:rPr>
            </w:pPr>
            <w:r>
              <w:rPr>
                <w:sz w:val="22"/>
              </w:rPr>
              <w:t xml:space="preserve"> </w:t>
            </w:r>
          </w:p>
          <w:p w:rsidR="00874EAF" w:rsidRDefault="00874EAF" w:rsidP="0021793B">
            <w:pPr>
              <w:rPr>
                <w:sz w:val="22"/>
              </w:rPr>
            </w:pPr>
          </w:p>
        </w:tc>
        <w:tc>
          <w:tcPr>
            <w:tcW w:w="5299" w:type="dxa"/>
          </w:tcPr>
          <w:p w:rsidR="00CE1909" w:rsidRDefault="00CE1909" w:rsidP="0021793B">
            <w:pPr>
              <w:rPr>
                <w:sz w:val="22"/>
              </w:rPr>
            </w:pPr>
          </w:p>
          <w:p w:rsidR="00CF2192" w:rsidRDefault="00CF2192" w:rsidP="00910398">
            <w:pPr>
              <w:rPr>
                <w:sz w:val="22"/>
              </w:rPr>
            </w:pPr>
            <w:r>
              <w:rPr>
                <w:sz w:val="22"/>
              </w:rPr>
              <w:t>The Council has a robust decision</w:t>
            </w:r>
            <w:r w:rsidR="00373FA7">
              <w:rPr>
                <w:sz w:val="22"/>
              </w:rPr>
              <w:t xml:space="preserve"> </w:t>
            </w:r>
            <w:r>
              <w:rPr>
                <w:sz w:val="22"/>
              </w:rPr>
              <w:t>making structure and takes account of the re</w:t>
            </w:r>
            <w:r w:rsidR="00373FA7">
              <w:rPr>
                <w:sz w:val="22"/>
              </w:rPr>
              <w:t>levant protected characteristics, viz:-</w:t>
            </w:r>
            <w:r>
              <w:rPr>
                <w:sz w:val="22"/>
              </w:rPr>
              <w:t xml:space="preserve"> disability, </w:t>
            </w:r>
            <w:r w:rsidR="00FB51E6">
              <w:rPr>
                <w:sz w:val="22"/>
              </w:rPr>
              <w:t xml:space="preserve">language, </w:t>
            </w:r>
            <w:r>
              <w:rPr>
                <w:sz w:val="22"/>
              </w:rPr>
              <w:t>race</w:t>
            </w:r>
            <w:r w:rsidR="00373FA7">
              <w:rPr>
                <w:sz w:val="22"/>
              </w:rPr>
              <w:t xml:space="preserve"> </w:t>
            </w:r>
            <w:r>
              <w:rPr>
                <w:sz w:val="22"/>
              </w:rPr>
              <w:t>and/or ethnicity</w:t>
            </w:r>
            <w:r w:rsidR="00FB51E6">
              <w:rPr>
                <w:sz w:val="22"/>
              </w:rPr>
              <w:t xml:space="preserve"> and takes account of these in facilitating access to</w:t>
            </w:r>
            <w:r w:rsidR="00A37D1D">
              <w:rPr>
                <w:sz w:val="22"/>
              </w:rPr>
              <w:t xml:space="preserve"> the committee hearing process </w:t>
            </w:r>
            <w:r w:rsidR="00FB51E6">
              <w:rPr>
                <w:sz w:val="22"/>
              </w:rPr>
              <w:t>by all relevant stakeholders/parents/appellants</w:t>
            </w:r>
            <w:r w:rsidR="004864FA">
              <w:rPr>
                <w:sz w:val="22"/>
              </w:rPr>
              <w:t xml:space="preserve"> e.g access to CORDIA’s inte</w:t>
            </w:r>
            <w:r w:rsidR="00910398">
              <w:rPr>
                <w:sz w:val="22"/>
              </w:rPr>
              <w:t>rpreting service</w:t>
            </w:r>
            <w:r w:rsidR="004864FA">
              <w:rPr>
                <w:sz w:val="22"/>
              </w:rPr>
              <w:t xml:space="preserve"> an</w:t>
            </w:r>
            <w:r w:rsidR="00F64FF7">
              <w:rPr>
                <w:sz w:val="22"/>
              </w:rPr>
              <w:t>d to Sensory Impairment Service</w:t>
            </w:r>
            <w:r w:rsidR="00ED6D23">
              <w:rPr>
                <w:sz w:val="22"/>
              </w:rPr>
              <w:t>s</w:t>
            </w:r>
            <w:r w:rsidR="004864FA">
              <w:rPr>
                <w:sz w:val="22"/>
              </w:rPr>
              <w:t xml:space="preserve"> for those with sight or hearing impairment.</w:t>
            </w:r>
          </w:p>
        </w:tc>
        <w:tc>
          <w:tcPr>
            <w:tcW w:w="1831" w:type="dxa"/>
          </w:tcPr>
          <w:p w:rsidR="00CE1909" w:rsidRDefault="004D37AB" w:rsidP="0021793B">
            <w:pPr>
              <w:rPr>
                <w:sz w:val="22"/>
              </w:rPr>
            </w:pPr>
            <w:r>
              <w:rPr>
                <w:sz w:val="22"/>
              </w:rPr>
              <w:t>N/A</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18"/>
        <w:gridCol w:w="2977"/>
        <w:gridCol w:w="3544"/>
        <w:gridCol w:w="3969"/>
      </w:tblGrid>
      <w:tr w:rsidR="00163A6F" w:rsidTr="00F963B7">
        <w:tblPrEx>
          <w:tblCellMar>
            <w:top w:w="0" w:type="dxa"/>
            <w:bottom w:w="0" w:type="dxa"/>
          </w:tblCellMar>
        </w:tblPrEx>
        <w:trPr>
          <w:tblHeader/>
        </w:trPr>
        <w:tc>
          <w:tcPr>
            <w:tcW w:w="2088" w:type="dxa"/>
            <w:shd w:val="clear" w:color="auto" w:fill="C0C0C0"/>
          </w:tcPr>
          <w:p w:rsidR="00163A6F" w:rsidRPr="00874EAF" w:rsidRDefault="00163A6F" w:rsidP="00781F6A">
            <w:pPr>
              <w:jc w:val="both"/>
              <w:rPr>
                <w:b/>
                <w:sz w:val="22"/>
              </w:rPr>
            </w:pPr>
            <w:r w:rsidRPr="00874EAF">
              <w:rPr>
                <w:b/>
                <w:sz w:val="22"/>
              </w:rPr>
              <w:t>Protected Characteristic</w:t>
            </w:r>
          </w:p>
        </w:tc>
        <w:tc>
          <w:tcPr>
            <w:tcW w:w="2018" w:type="dxa"/>
            <w:shd w:val="clear" w:color="auto" w:fill="C0C0C0"/>
          </w:tcPr>
          <w:p w:rsidR="00163A6F" w:rsidRPr="0095563E" w:rsidRDefault="00163A6F" w:rsidP="00781F6A">
            <w:pPr>
              <w:rPr>
                <w:b/>
                <w:sz w:val="22"/>
              </w:rPr>
            </w:pPr>
            <w:r w:rsidRPr="0095563E">
              <w:rPr>
                <w:b/>
                <w:sz w:val="22"/>
              </w:rPr>
              <w:t>Specific Characteristics</w:t>
            </w:r>
          </w:p>
        </w:tc>
        <w:tc>
          <w:tcPr>
            <w:tcW w:w="2977" w:type="dxa"/>
            <w:shd w:val="clear" w:color="auto" w:fill="C0C0C0"/>
          </w:tcPr>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3544" w:type="dxa"/>
            <w:shd w:val="clear" w:color="auto" w:fill="C0C0C0"/>
          </w:tcPr>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3969" w:type="dxa"/>
            <w:tcBorders>
              <w:bottom w:val="single" w:sz="4" w:space="0" w:color="auto"/>
            </w:tcBorders>
            <w:shd w:val="clear" w:color="auto" w:fill="C0C0C0"/>
          </w:tcPr>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F963B7">
        <w:tblPrEx>
          <w:tblCellMar>
            <w:top w:w="0" w:type="dxa"/>
            <w:bottom w:w="0" w:type="dxa"/>
          </w:tblCellMar>
        </w:tblPrEx>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018" w:type="dxa"/>
            <w:shd w:val="clear" w:color="auto" w:fill="CCFFFF"/>
            <w:vAlign w:val="center"/>
          </w:tcPr>
          <w:p w:rsidR="00163A6F" w:rsidRDefault="00163A6F" w:rsidP="00B55E10">
            <w:pPr>
              <w:rPr>
                <w:sz w:val="22"/>
              </w:rPr>
            </w:pPr>
            <w:r>
              <w:rPr>
                <w:sz w:val="22"/>
              </w:rPr>
              <w:t>Women</w:t>
            </w:r>
          </w:p>
        </w:tc>
        <w:tc>
          <w:tcPr>
            <w:tcW w:w="2977" w:type="dxa"/>
          </w:tcPr>
          <w:p w:rsidR="00163A6F" w:rsidRDefault="00F766CD" w:rsidP="00F766CD">
            <w:pPr>
              <w:rPr>
                <w:sz w:val="22"/>
              </w:rPr>
            </w:pPr>
            <w:r>
              <w:rPr>
                <w:sz w:val="22"/>
              </w:rPr>
              <w:t>Not applicable</w:t>
            </w: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51"/>
        </w:trPr>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Men</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018"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977" w:type="dxa"/>
            <w:tcBorders>
              <w:bottom w:val="single" w:sz="4" w:space="0" w:color="auto"/>
            </w:tcBorders>
          </w:tcPr>
          <w:p w:rsidR="00163A6F" w:rsidRDefault="00163A6F" w:rsidP="00781F6A">
            <w:pPr>
              <w:rPr>
                <w:sz w:val="22"/>
              </w:rPr>
            </w:pPr>
          </w:p>
        </w:tc>
        <w:tc>
          <w:tcPr>
            <w:tcW w:w="3544" w:type="dxa"/>
            <w:tcBorders>
              <w:bottom w:val="single" w:sz="4" w:space="0" w:color="auto"/>
            </w:tcBorders>
          </w:tcPr>
          <w:p w:rsidR="00163A6F" w:rsidRDefault="00163A6F" w:rsidP="00781F6A">
            <w:pPr>
              <w:rPr>
                <w:sz w:val="22"/>
              </w:rPr>
            </w:pPr>
          </w:p>
        </w:tc>
        <w:tc>
          <w:tcPr>
            <w:tcW w:w="3969" w:type="dxa"/>
            <w:tcBorders>
              <w:bottom w:val="single" w:sz="4" w:space="0" w:color="auto"/>
            </w:tcBorders>
            <w:shd w:val="clear" w:color="auto" w:fill="FFCC99"/>
          </w:tcPr>
          <w:p w:rsidR="00163A6F" w:rsidRDefault="00163A6F" w:rsidP="00781F6A">
            <w:pPr>
              <w:rPr>
                <w:sz w:val="22"/>
              </w:rPr>
            </w:pPr>
          </w:p>
        </w:tc>
      </w:tr>
      <w:tr w:rsidR="00874EAF" w:rsidTr="00F963B7">
        <w:tblPrEx>
          <w:tblCellMar>
            <w:top w:w="0" w:type="dxa"/>
            <w:bottom w:w="0" w:type="dxa"/>
          </w:tblCellMar>
        </w:tblPrEx>
        <w:tc>
          <w:tcPr>
            <w:tcW w:w="14596" w:type="dxa"/>
            <w:gridSpan w:val="5"/>
            <w:shd w:val="clear" w:color="auto" w:fill="auto"/>
          </w:tcPr>
          <w:p w:rsidR="00874EAF" w:rsidRPr="00CD7794" w:rsidRDefault="00874EAF" w:rsidP="00781F6A">
            <w:pPr>
              <w:rPr>
                <w:sz w:val="18"/>
                <w:szCs w:val="18"/>
              </w:rPr>
            </w:pPr>
          </w:p>
        </w:tc>
      </w:tr>
      <w:tr w:rsidR="00CE00A0" w:rsidTr="00F963B7">
        <w:tblPrEx>
          <w:tblCellMar>
            <w:top w:w="0" w:type="dxa"/>
            <w:bottom w:w="0" w:type="dxa"/>
          </w:tblCellMar>
        </w:tblPrEx>
        <w:trPr>
          <w:trHeight w:val="399"/>
        </w:trPr>
        <w:tc>
          <w:tcPr>
            <w:tcW w:w="2088" w:type="dxa"/>
            <w:shd w:val="clear" w:color="auto" w:fill="CCFFFF"/>
            <w:vAlign w:val="center"/>
          </w:tcPr>
          <w:p w:rsidR="00CE00A0" w:rsidRPr="00AE6831" w:rsidRDefault="00CE00A0" w:rsidP="0070176D">
            <w:pPr>
              <w:rPr>
                <w:b/>
                <w:sz w:val="22"/>
                <w:szCs w:val="22"/>
              </w:rPr>
            </w:pPr>
            <w:r w:rsidRPr="00AE6831">
              <w:rPr>
                <w:b/>
                <w:sz w:val="22"/>
                <w:szCs w:val="22"/>
              </w:rPr>
              <w:t>RACE*</w:t>
            </w:r>
          </w:p>
        </w:tc>
        <w:tc>
          <w:tcPr>
            <w:tcW w:w="2018" w:type="dxa"/>
            <w:shd w:val="clear" w:color="auto" w:fill="CCFFFF"/>
            <w:vAlign w:val="center"/>
          </w:tcPr>
          <w:p w:rsidR="00CE00A0" w:rsidRDefault="00CE00A0" w:rsidP="00B55E10">
            <w:pPr>
              <w:rPr>
                <w:sz w:val="22"/>
              </w:rPr>
            </w:pPr>
            <w:r>
              <w:rPr>
                <w:sz w:val="22"/>
              </w:rPr>
              <w:t>White</w:t>
            </w:r>
          </w:p>
        </w:tc>
        <w:tc>
          <w:tcPr>
            <w:tcW w:w="2977" w:type="dxa"/>
            <w:vMerge w:val="restart"/>
          </w:tcPr>
          <w:p w:rsidR="00CE00A0" w:rsidRDefault="00CE00A0" w:rsidP="00910398">
            <w:pPr>
              <w:rPr>
                <w:sz w:val="22"/>
              </w:rPr>
            </w:pPr>
          </w:p>
        </w:tc>
        <w:tc>
          <w:tcPr>
            <w:tcW w:w="3544" w:type="dxa"/>
            <w:vMerge w:val="restart"/>
          </w:tcPr>
          <w:p w:rsidR="00F766CD" w:rsidRDefault="00CE00A0" w:rsidP="00A37D1D">
            <w:pPr>
              <w:rPr>
                <w:sz w:val="22"/>
              </w:rPr>
            </w:pPr>
            <w:r>
              <w:rPr>
                <w:sz w:val="22"/>
              </w:rPr>
              <w:t xml:space="preserve">Aware in some cases </w:t>
            </w:r>
            <w:r w:rsidR="00A37D1D">
              <w:rPr>
                <w:sz w:val="22"/>
              </w:rPr>
              <w:t xml:space="preserve">access to the hearing process </w:t>
            </w:r>
            <w:r>
              <w:rPr>
                <w:sz w:val="22"/>
              </w:rPr>
              <w:t xml:space="preserve">may be a barrier </w:t>
            </w:r>
            <w:r w:rsidR="00A37D1D">
              <w:rPr>
                <w:sz w:val="22"/>
              </w:rPr>
              <w:t>for some people due to language issues. It is reco</w:t>
            </w:r>
            <w:r>
              <w:rPr>
                <w:sz w:val="22"/>
              </w:rPr>
              <w:t>gnise</w:t>
            </w:r>
            <w:r w:rsidR="00A37D1D">
              <w:rPr>
                <w:sz w:val="22"/>
              </w:rPr>
              <w:t>d</w:t>
            </w:r>
            <w:r>
              <w:rPr>
                <w:sz w:val="22"/>
              </w:rPr>
              <w:t xml:space="preserve"> the</w:t>
            </w:r>
            <w:r w:rsidR="00A37D1D">
              <w:rPr>
                <w:sz w:val="22"/>
              </w:rPr>
              <w:t>re may be a</w:t>
            </w:r>
            <w:r>
              <w:rPr>
                <w:sz w:val="22"/>
              </w:rPr>
              <w:t xml:space="preserve"> need to seek access to translatio</w:t>
            </w:r>
            <w:r w:rsidR="003F0FC9">
              <w:rPr>
                <w:sz w:val="22"/>
              </w:rPr>
              <w:t>n/interpreting services</w:t>
            </w:r>
            <w:r>
              <w:rPr>
                <w:sz w:val="22"/>
              </w:rPr>
              <w:t xml:space="preserve"> via CORDIA</w:t>
            </w:r>
            <w:r w:rsidR="00A37D1D">
              <w:rPr>
                <w:sz w:val="22"/>
              </w:rPr>
              <w:t>.</w:t>
            </w:r>
          </w:p>
        </w:tc>
        <w:tc>
          <w:tcPr>
            <w:tcW w:w="3969" w:type="dxa"/>
            <w:shd w:val="clear" w:color="auto" w:fill="FFCC99"/>
          </w:tcPr>
          <w:p w:rsidR="00CE00A0" w:rsidRDefault="00CE00A0" w:rsidP="00781F6A">
            <w:pPr>
              <w:rPr>
                <w:sz w:val="22"/>
              </w:rPr>
            </w:pPr>
          </w:p>
        </w:tc>
      </w:tr>
      <w:tr w:rsidR="00CE00A0" w:rsidTr="00F963B7">
        <w:tblPrEx>
          <w:tblCellMar>
            <w:top w:w="0" w:type="dxa"/>
            <w:bottom w:w="0" w:type="dxa"/>
          </w:tblCellMar>
        </w:tblPrEx>
        <w:trPr>
          <w:trHeight w:val="449"/>
        </w:trPr>
        <w:tc>
          <w:tcPr>
            <w:tcW w:w="2088" w:type="dxa"/>
            <w:vMerge w:val="restart"/>
            <w:shd w:val="clear" w:color="auto" w:fill="CCFFFF"/>
          </w:tcPr>
          <w:p w:rsidR="00CE00A0" w:rsidRDefault="00CE00A0" w:rsidP="00781F6A">
            <w:pPr>
              <w:rPr>
                <w:i/>
                <w:sz w:val="20"/>
              </w:rPr>
            </w:pPr>
            <w:r w:rsidRPr="00B55E10">
              <w:rPr>
                <w:i/>
                <w:sz w:val="20"/>
              </w:rPr>
              <w:t xml:space="preserve">Further information on the breakdown below each of these headings, as per census, is available </w:t>
            </w:r>
            <w:hyperlink r:id="rId11" w:history="1">
              <w:r w:rsidRPr="00B55E10">
                <w:rPr>
                  <w:rStyle w:val="Hyperlink"/>
                  <w:i/>
                  <w:sz w:val="20"/>
                </w:rPr>
                <w:t>here.</w:t>
              </w:r>
            </w:hyperlink>
          </w:p>
          <w:p w:rsidR="00CE00A0" w:rsidRDefault="00CE00A0" w:rsidP="00781F6A">
            <w:pPr>
              <w:rPr>
                <w:i/>
                <w:sz w:val="20"/>
              </w:rPr>
            </w:pPr>
          </w:p>
          <w:p w:rsidR="00CE00A0" w:rsidRPr="00FC051D" w:rsidRDefault="00CE00A0" w:rsidP="00781F6A">
            <w:pPr>
              <w:rPr>
                <w:b/>
                <w:i/>
                <w:sz w:val="20"/>
              </w:rPr>
            </w:pPr>
            <w:r w:rsidRPr="00FC051D">
              <w:rPr>
                <w:i/>
                <w:sz w:val="20"/>
              </w:rPr>
              <w:t>For example Asian includes Chinese, Pakistani and Indian etc</w:t>
            </w:r>
          </w:p>
        </w:tc>
        <w:tc>
          <w:tcPr>
            <w:tcW w:w="2018" w:type="dxa"/>
            <w:shd w:val="clear" w:color="auto" w:fill="CCFFFF"/>
            <w:vAlign w:val="center"/>
          </w:tcPr>
          <w:p w:rsidR="00CE00A0" w:rsidRDefault="00CE00A0" w:rsidP="00B55E10">
            <w:pPr>
              <w:rPr>
                <w:sz w:val="22"/>
              </w:rPr>
            </w:pPr>
            <w:r>
              <w:rPr>
                <w:sz w:val="22"/>
              </w:rPr>
              <w:t>Mixed or Multiple Ethnic Groups</w:t>
            </w:r>
          </w:p>
        </w:tc>
        <w:tc>
          <w:tcPr>
            <w:tcW w:w="2977" w:type="dxa"/>
            <w:vMerge/>
          </w:tcPr>
          <w:p w:rsidR="00CE00A0" w:rsidRDefault="00CE00A0" w:rsidP="00781F6A">
            <w:pPr>
              <w:rPr>
                <w:sz w:val="22"/>
              </w:rPr>
            </w:pPr>
          </w:p>
        </w:tc>
        <w:tc>
          <w:tcPr>
            <w:tcW w:w="3544" w:type="dxa"/>
            <w:vMerge/>
          </w:tcPr>
          <w:p w:rsidR="00CE00A0" w:rsidRDefault="00CE00A0" w:rsidP="00781F6A">
            <w:pPr>
              <w:rPr>
                <w:sz w:val="22"/>
              </w:rPr>
            </w:pPr>
          </w:p>
        </w:tc>
        <w:tc>
          <w:tcPr>
            <w:tcW w:w="3969" w:type="dxa"/>
            <w:shd w:val="clear" w:color="auto" w:fill="FFCC99"/>
          </w:tcPr>
          <w:p w:rsidR="00CE00A0" w:rsidRDefault="00CE00A0" w:rsidP="00781F6A">
            <w:pPr>
              <w:rPr>
                <w:sz w:val="22"/>
              </w:rPr>
            </w:pPr>
          </w:p>
        </w:tc>
      </w:tr>
      <w:tr w:rsidR="00CE00A0" w:rsidTr="00F963B7">
        <w:tblPrEx>
          <w:tblCellMar>
            <w:top w:w="0" w:type="dxa"/>
            <w:bottom w:w="0" w:type="dxa"/>
          </w:tblCellMar>
        </w:tblPrEx>
        <w:trPr>
          <w:trHeight w:val="499"/>
        </w:trPr>
        <w:tc>
          <w:tcPr>
            <w:tcW w:w="2088" w:type="dxa"/>
            <w:vMerge/>
            <w:shd w:val="clear" w:color="auto" w:fill="CCFFFF"/>
          </w:tcPr>
          <w:p w:rsidR="00CE00A0" w:rsidRPr="00534BCA" w:rsidRDefault="00CE00A0" w:rsidP="00781F6A">
            <w:pPr>
              <w:rPr>
                <w:b/>
                <w:sz w:val="22"/>
              </w:rPr>
            </w:pPr>
          </w:p>
        </w:tc>
        <w:tc>
          <w:tcPr>
            <w:tcW w:w="2018" w:type="dxa"/>
            <w:shd w:val="clear" w:color="auto" w:fill="CCFFFF"/>
            <w:vAlign w:val="center"/>
          </w:tcPr>
          <w:p w:rsidR="00CE00A0" w:rsidRDefault="00CE00A0" w:rsidP="00FC051D">
            <w:pPr>
              <w:rPr>
                <w:sz w:val="22"/>
              </w:rPr>
            </w:pPr>
            <w:r>
              <w:rPr>
                <w:sz w:val="22"/>
              </w:rPr>
              <w:t>Asian</w:t>
            </w:r>
          </w:p>
        </w:tc>
        <w:tc>
          <w:tcPr>
            <w:tcW w:w="2977" w:type="dxa"/>
            <w:vMerge/>
          </w:tcPr>
          <w:p w:rsidR="00CE00A0" w:rsidRDefault="00CE00A0" w:rsidP="00781F6A">
            <w:pPr>
              <w:rPr>
                <w:sz w:val="22"/>
              </w:rPr>
            </w:pPr>
          </w:p>
        </w:tc>
        <w:tc>
          <w:tcPr>
            <w:tcW w:w="3544" w:type="dxa"/>
            <w:vMerge/>
          </w:tcPr>
          <w:p w:rsidR="00CE00A0" w:rsidRDefault="00CE00A0" w:rsidP="00781F6A">
            <w:pPr>
              <w:rPr>
                <w:sz w:val="22"/>
              </w:rPr>
            </w:pPr>
          </w:p>
        </w:tc>
        <w:tc>
          <w:tcPr>
            <w:tcW w:w="3969" w:type="dxa"/>
            <w:shd w:val="clear" w:color="auto" w:fill="FFCC99"/>
          </w:tcPr>
          <w:p w:rsidR="00CE00A0" w:rsidRDefault="00CE00A0" w:rsidP="00781F6A">
            <w:pPr>
              <w:rPr>
                <w:sz w:val="22"/>
              </w:rPr>
            </w:pPr>
          </w:p>
        </w:tc>
      </w:tr>
      <w:tr w:rsidR="00CE00A0" w:rsidTr="00F963B7">
        <w:tblPrEx>
          <w:tblCellMar>
            <w:top w:w="0" w:type="dxa"/>
            <w:bottom w:w="0" w:type="dxa"/>
          </w:tblCellMar>
        </w:tblPrEx>
        <w:trPr>
          <w:trHeight w:val="548"/>
        </w:trPr>
        <w:tc>
          <w:tcPr>
            <w:tcW w:w="2088" w:type="dxa"/>
            <w:vMerge/>
            <w:shd w:val="clear" w:color="auto" w:fill="CCFFFF"/>
          </w:tcPr>
          <w:p w:rsidR="00CE00A0" w:rsidRPr="00534BCA" w:rsidRDefault="00CE00A0" w:rsidP="00781F6A">
            <w:pPr>
              <w:rPr>
                <w:b/>
                <w:sz w:val="22"/>
              </w:rPr>
            </w:pPr>
          </w:p>
        </w:tc>
        <w:tc>
          <w:tcPr>
            <w:tcW w:w="2018" w:type="dxa"/>
            <w:shd w:val="clear" w:color="auto" w:fill="CCFFFF"/>
            <w:vAlign w:val="center"/>
          </w:tcPr>
          <w:p w:rsidR="00CE00A0" w:rsidRDefault="00CE00A0" w:rsidP="00B55E10">
            <w:pPr>
              <w:rPr>
                <w:sz w:val="22"/>
              </w:rPr>
            </w:pPr>
            <w:r>
              <w:rPr>
                <w:sz w:val="22"/>
              </w:rPr>
              <w:t>African</w:t>
            </w:r>
          </w:p>
        </w:tc>
        <w:tc>
          <w:tcPr>
            <w:tcW w:w="2977" w:type="dxa"/>
            <w:vMerge/>
          </w:tcPr>
          <w:p w:rsidR="00CE00A0" w:rsidRDefault="00CE00A0" w:rsidP="00781F6A">
            <w:pPr>
              <w:rPr>
                <w:sz w:val="22"/>
              </w:rPr>
            </w:pPr>
          </w:p>
        </w:tc>
        <w:tc>
          <w:tcPr>
            <w:tcW w:w="3544" w:type="dxa"/>
            <w:vMerge/>
          </w:tcPr>
          <w:p w:rsidR="00CE00A0" w:rsidRDefault="00CE00A0" w:rsidP="00781F6A">
            <w:pPr>
              <w:rPr>
                <w:sz w:val="22"/>
              </w:rPr>
            </w:pPr>
          </w:p>
        </w:tc>
        <w:tc>
          <w:tcPr>
            <w:tcW w:w="3969" w:type="dxa"/>
            <w:shd w:val="clear" w:color="auto" w:fill="FFCC99"/>
          </w:tcPr>
          <w:p w:rsidR="00CE00A0" w:rsidRDefault="00CE00A0" w:rsidP="00781F6A">
            <w:pPr>
              <w:rPr>
                <w:sz w:val="22"/>
              </w:rPr>
            </w:pPr>
          </w:p>
        </w:tc>
      </w:tr>
      <w:tr w:rsidR="00CE00A0" w:rsidTr="00F963B7">
        <w:tblPrEx>
          <w:tblCellMar>
            <w:top w:w="0" w:type="dxa"/>
            <w:bottom w:w="0" w:type="dxa"/>
          </w:tblCellMar>
        </w:tblPrEx>
        <w:trPr>
          <w:trHeight w:val="512"/>
        </w:trPr>
        <w:tc>
          <w:tcPr>
            <w:tcW w:w="2088" w:type="dxa"/>
            <w:vMerge/>
            <w:shd w:val="clear" w:color="auto" w:fill="CCFFFF"/>
          </w:tcPr>
          <w:p w:rsidR="00CE00A0" w:rsidRPr="00534BCA" w:rsidRDefault="00CE00A0" w:rsidP="00781F6A">
            <w:pPr>
              <w:rPr>
                <w:b/>
                <w:sz w:val="22"/>
              </w:rPr>
            </w:pPr>
          </w:p>
        </w:tc>
        <w:tc>
          <w:tcPr>
            <w:tcW w:w="2018" w:type="dxa"/>
            <w:shd w:val="clear" w:color="auto" w:fill="CCFFFF"/>
            <w:vAlign w:val="center"/>
          </w:tcPr>
          <w:p w:rsidR="00CE00A0" w:rsidRDefault="00CE00A0" w:rsidP="00B55E10">
            <w:pPr>
              <w:rPr>
                <w:sz w:val="22"/>
              </w:rPr>
            </w:pPr>
            <w:r>
              <w:rPr>
                <w:sz w:val="22"/>
              </w:rPr>
              <w:t xml:space="preserve">Caribbean or Black </w:t>
            </w:r>
          </w:p>
        </w:tc>
        <w:tc>
          <w:tcPr>
            <w:tcW w:w="2977" w:type="dxa"/>
            <w:vMerge/>
          </w:tcPr>
          <w:p w:rsidR="00CE00A0" w:rsidRDefault="00CE00A0" w:rsidP="00781F6A">
            <w:pPr>
              <w:rPr>
                <w:sz w:val="22"/>
              </w:rPr>
            </w:pPr>
          </w:p>
        </w:tc>
        <w:tc>
          <w:tcPr>
            <w:tcW w:w="3544" w:type="dxa"/>
            <w:vMerge/>
          </w:tcPr>
          <w:p w:rsidR="00CE00A0" w:rsidRDefault="00CE00A0" w:rsidP="00781F6A">
            <w:pPr>
              <w:rPr>
                <w:sz w:val="22"/>
              </w:rPr>
            </w:pPr>
          </w:p>
        </w:tc>
        <w:tc>
          <w:tcPr>
            <w:tcW w:w="3969" w:type="dxa"/>
            <w:shd w:val="clear" w:color="auto" w:fill="FFCC99"/>
          </w:tcPr>
          <w:p w:rsidR="00CE00A0" w:rsidRDefault="00CE00A0" w:rsidP="00781F6A">
            <w:pPr>
              <w:rPr>
                <w:sz w:val="22"/>
              </w:rPr>
            </w:pPr>
          </w:p>
        </w:tc>
      </w:tr>
      <w:tr w:rsidR="00CE00A0" w:rsidTr="00F963B7">
        <w:tblPrEx>
          <w:tblCellMar>
            <w:top w:w="0" w:type="dxa"/>
            <w:bottom w:w="0" w:type="dxa"/>
          </w:tblCellMar>
        </w:tblPrEx>
        <w:trPr>
          <w:trHeight w:val="562"/>
        </w:trPr>
        <w:tc>
          <w:tcPr>
            <w:tcW w:w="2088" w:type="dxa"/>
            <w:vMerge/>
            <w:shd w:val="clear" w:color="auto" w:fill="CCFFFF"/>
          </w:tcPr>
          <w:p w:rsidR="00CE00A0" w:rsidRPr="00534BCA" w:rsidRDefault="00CE00A0" w:rsidP="00781F6A">
            <w:pPr>
              <w:rPr>
                <w:b/>
                <w:sz w:val="22"/>
              </w:rPr>
            </w:pPr>
          </w:p>
        </w:tc>
        <w:tc>
          <w:tcPr>
            <w:tcW w:w="2018" w:type="dxa"/>
            <w:shd w:val="clear" w:color="auto" w:fill="CCFFFF"/>
            <w:vAlign w:val="center"/>
          </w:tcPr>
          <w:p w:rsidR="00CE00A0" w:rsidRDefault="00CE00A0" w:rsidP="00B55E10">
            <w:pPr>
              <w:rPr>
                <w:sz w:val="22"/>
              </w:rPr>
            </w:pPr>
            <w:r>
              <w:rPr>
                <w:sz w:val="22"/>
              </w:rPr>
              <w:t>Other Ethnic Group</w:t>
            </w:r>
          </w:p>
        </w:tc>
        <w:tc>
          <w:tcPr>
            <w:tcW w:w="2977" w:type="dxa"/>
            <w:vMerge/>
          </w:tcPr>
          <w:p w:rsidR="00CE00A0" w:rsidRDefault="00CE00A0" w:rsidP="00781F6A">
            <w:pPr>
              <w:rPr>
                <w:sz w:val="22"/>
              </w:rPr>
            </w:pPr>
          </w:p>
        </w:tc>
        <w:tc>
          <w:tcPr>
            <w:tcW w:w="3544" w:type="dxa"/>
            <w:vMerge/>
          </w:tcPr>
          <w:p w:rsidR="00CE00A0" w:rsidRDefault="00CE00A0" w:rsidP="00781F6A">
            <w:pPr>
              <w:rPr>
                <w:sz w:val="22"/>
              </w:rPr>
            </w:pPr>
          </w:p>
        </w:tc>
        <w:tc>
          <w:tcPr>
            <w:tcW w:w="3969" w:type="dxa"/>
            <w:shd w:val="clear" w:color="auto" w:fill="FFCC99"/>
          </w:tcPr>
          <w:p w:rsidR="00CE00A0" w:rsidRDefault="00CE00A0" w:rsidP="00781F6A">
            <w:pPr>
              <w:rPr>
                <w:sz w:val="22"/>
              </w:rPr>
            </w:pPr>
          </w:p>
        </w:tc>
      </w:tr>
      <w:tr w:rsidR="00874EAF" w:rsidTr="00F963B7">
        <w:tblPrEx>
          <w:tblCellMar>
            <w:top w:w="0" w:type="dxa"/>
            <w:bottom w:w="0" w:type="dxa"/>
          </w:tblCellMar>
        </w:tblPrEx>
        <w:tc>
          <w:tcPr>
            <w:tcW w:w="14596" w:type="dxa"/>
            <w:gridSpan w:val="5"/>
            <w:shd w:val="clear" w:color="auto" w:fill="auto"/>
          </w:tcPr>
          <w:p w:rsidR="00874EAF" w:rsidRPr="00CD7794" w:rsidRDefault="00874EAF" w:rsidP="00874EAF">
            <w:pPr>
              <w:rPr>
                <w:sz w:val="18"/>
                <w:szCs w:val="18"/>
              </w:rPr>
            </w:pPr>
          </w:p>
        </w:tc>
      </w:tr>
      <w:tr w:rsidR="00CF7FFD" w:rsidTr="00F963B7">
        <w:tblPrEx>
          <w:tblCellMar>
            <w:top w:w="0" w:type="dxa"/>
            <w:bottom w:w="0" w:type="dxa"/>
          </w:tblCellMar>
        </w:tblPrEx>
        <w:trPr>
          <w:trHeight w:val="464"/>
        </w:trPr>
        <w:tc>
          <w:tcPr>
            <w:tcW w:w="2088" w:type="dxa"/>
            <w:shd w:val="clear" w:color="auto" w:fill="CCFFFF"/>
            <w:vAlign w:val="center"/>
          </w:tcPr>
          <w:p w:rsidR="00CF7FFD" w:rsidRPr="00534BCA" w:rsidRDefault="00CF7FFD" w:rsidP="0070176D">
            <w:pPr>
              <w:rPr>
                <w:b/>
                <w:sz w:val="22"/>
              </w:rPr>
            </w:pPr>
            <w:r w:rsidRPr="00534BCA">
              <w:rPr>
                <w:b/>
                <w:sz w:val="22"/>
              </w:rPr>
              <w:t>DISABILITY</w:t>
            </w:r>
          </w:p>
        </w:tc>
        <w:tc>
          <w:tcPr>
            <w:tcW w:w="2018" w:type="dxa"/>
            <w:shd w:val="clear" w:color="auto" w:fill="CCFFFF"/>
            <w:vAlign w:val="center"/>
          </w:tcPr>
          <w:p w:rsidR="00CF7FFD" w:rsidRDefault="00CF7FFD" w:rsidP="00B55E10">
            <w:pPr>
              <w:rPr>
                <w:sz w:val="22"/>
              </w:rPr>
            </w:pPr>
            <w:r>
              <w:rPr>
                <w:sz w:val="22"/>
              </w:rPr>
              <w:t>Physical disability</w:t>
            </w:r>
          </w:p>
        </w:tc>
        <w:tc>
          <w:tcPr>
            <w:tcW w:w="2977" w:type="dxa"/>
            <w:vMerge w:val="restart"/>
          </w:tcPr>
          <w:p w:rsidR="00CF7FFD" w:rsidRDefault="00F766CD" w:rsidP="00F766CD">
            <w:pPr>
              <w:rPr>
                <w:sz w:val="22"/>
              </w:rPr>
            </w:pPr>
            <w:r>
              <w:rPr>
                <w:sz w:val="22"/>
              </w:rPr>
              <w:t xml:space="preserve">If people are unable to attend the committee, there is now the opportunity to attend virtually by way of video conferencing.  This is a new approach as a result of covid, but is something which could be used in the future to support those with disabilities.  </w:t>
            </w:r>
          </w:p>
        </w:tc>
        <w:tc>
          <w:tcPr>
            <w:tcW w:w="3544" w:type="dxa"/>
            <w:vMerge w:val="restart"/>
          </w:tcPr>
          <w:p w:rsidR="00CF7FFD" w:rsidRDefault="00A37D1D" w:rsidP="00A37D1D">
            <w:pPr>
              <w:rPr>
                <w:sz w:val="22"/>
              </w:rPr>
            </w:pPr>
            <w:r>
              <w:rPr>
                <w:sz w:val="22"/>
              </w:rPr>
              <w:t>Aware in some cases that access to the hearing process may be a barrier due to a disability. It is recognised there</w:t>
            </w:r>
            <w:r w:rsidR="003F0FC9">
              <w:rPr>
                <w:sz w:val="22"/>
              </w:rPr>
              <w:t xml:space="preserve"> may be a need to access </w:t>
            </w:r>
            <w:r>
              <w:rPr>
                <w:sz w:val="22"/>
              </w:rPr>
              <w:t xml:space="preserve">Sensory Impairment Services e.g. </w:t>
            </w:r>
            <w:r w:rsidR="00CF7FFD">
              <w:rPr>
                <w:sz w:val="22"/>
              </w:rPr>
              <w:t>Centre for Sensory Impairment</w:t>
            </w:r>
            <w:r>
              <w:rPr>
                <w:sz w:val="22"/>
              </w:rPr>
              <w:t>.</w:t>
            </w:r>
          </w:p>
        </w:tc>
        <w:tc>
          <w:tcPr>
            <w:tcW w:w="3969" w:type="dxa"/>
            <w:shd w:val="clear" w:color="auto" w:fill="FFCC99"/>
          </w:tcPr>
          <w:p w:rsidR="00CF7FFD" w:rsidRDefault="00CF7FFD" w:rsidP="00781F6A">
            <w:pPr>
              <w:rPr>
                <w:sz w:val="22"/>
              </w:rPr>
            </w:pPr>
          </w:p>
        </w:tc>
      </w:tr>
      <w:tr w:rsidR="00CF7FFD" w:rsidTr="00F963B7">
        <w:tblPrEx>
          <w:tblCellMar>
            <w:top w:w="0" w:type="dxa"/>
            <w:bottom w:w="0" w:type="dxa"/>
          </w:tblCellMar>
        </w:tblPrEx>
        <w:tc>
          <w:tcPr>
            <w:tcW w:w="2088" w:type="dxa"/>
            <w:vMerge w:val="restart"/>
            <w:shd w:val="clear" w:color="auto" w:fill="CCFFFF"/>
          </w:tcPr>
          <w:p w:rsidR="00CF7FFD" w:rsidRPr="0070176D" w:rsidRDefault="00CF7FFD" w:rsidP="00781F6A">
            <w:pPr>
              <w:rPr>
                <w:i/>
                <w:sz w:val="20"/>
              </w:rPr>
            </w:pPr>
            <w:r w:rsidRPr="0070176D">
              <w:rPr>
                <w:i/>
                <w:sz w:val="20"/>
              </w:rPr>
              <w:t xml:space="preserve">A definition of disability under the Equality Act 2010 is available </w:t>
            </w:r>
            <w:hyperlink r:id="rId12" w:history="1">
              <w:r w:rsidRPr="0070176D">
                <w:rPr>
                  <w:rStyle w:val="Hyperlink"/>
                  <w:i/>
                  <w:sz w:val="20"/>
                </w:rPr>
                <w:t>here.</w:t>
              </w:r>
            </w:hyperlink>
          </w:p>
        </w:tc>
        <w:tc>
          <w:tcPr>
            <w:tcW w:w="2018" w:type="dxa"/>
            <w:shd w:val="clear" w:color="auto" w:fill="CCFFFF"/>
          </w:tcPr>
          <w:p w:rsidR="00CF7FFD" w:rsidRDefault="00CF7FFD" w:rsidP="00781F6A">
            <w:pPr>
              <w:rPr>
                <w:sz w:val="22"/>
              </w:rPr>
            </w:pPr>
            <w:r>
              <w:rPr>
                <w:sz w:val="22"/>
              </w:rPr>
              <w:t>Sensory Impairment</w:t>
            </w:r>
          </w:p>
          <w:p w:rsidR="00CF7FFD" w:rsidRDefault="00CF7FFD" w:rsidP="00781F6A">
            <w:pPr>
              <w:rPr>
                <w:sz w:val="22"/>
              </w:rPr>
            </w:pPr>
            <w:r>
              <w:rPr>
                <w:sz w:val="22"/>
              </w:rPr>
              <w:t>(sight, hearing, )</w:t>
            </w:r>
          </w:p>
        </w:tc>
        <w:tc>
          <w:tcPr>
            <w:tcW w:w="2977" w:type="dxa"/>
            <w:vMerge/>
          </w:tcPr>
          <w:p w:rsidR="00CF7FFD" w:rsidRDefault="00CF7FFD" w:rsidP="00781F6A">
            <w:pPr>
              <w:rPr>
                <w:sz w:val="22"/>
              </w:rPr>
            </w:pPr>
          </w:p>
        </w:tc>
        <w:tc>
          <w:tcPr>
            <w:tcW w:w="3544" w:type="dxa"/>
            <w:vMerge/>
          </w:tcPr>
          <w:p w:rsidR="00CF7FFD" w:rsidRDefault="00CF7FFD" w:rsidP="00781F6A">
            <w:pPr>
              <w:rPr>
                <w:sz w:val="22"/>
              </w:rPr>
            </w:pPr>
          </w:p>
        </w:tc>
        <w:tc>
          <w:tcPr>
            <w:tcW w:w="3969" w:type="dxa"/>
            <w:shd w:val="clear" w:color="auto" w:fill="FFCC99"/>
          </w:tcPr>
          <w:p w:rsidR="00CF7FFD" w:rsidRDefault="00CF7FFD" w:rsidP="00781F6A">
            <w:pPr>
              <w:rPr>
                <w:sz w:val="22"/>
              </w:rPr>
            </w:pPr>
          </w:p>
        </w:tc>
      </w:tr>
      <w:tr w:rsidR="00CF7FFD" w:rsidTr="00F963B7">
        <w:tblPrEx>
          <w:tblCellMar>
            <w:top w:w="0" w:type="dxa"/>
            <w:bottom w:w="0" w:type="dxa"/>
          </w:tblCellMar>
        </w:tblPrEx>
        <w:trPr>
          <w:trHeight w:val="422"/>
        </w:trPr>
        <w:tc>
          <w:tcPr>
            <w:tcW w:w="2088" w:type="dxa"/>
            <w:vMerge/>
            <w:shd w:val="clear" w:color="auto" w:fill="CCFFFF"/>
          </w:tcPr>
          <w:p w:rsidR="00CF7FFD" w:rsidRPr="00534BCA" w:rsidRDefault="00CF7FFD" w:rsidP="00781F6A">
            <w:pPr>
              <w:rPr>
                <w:b/>
                <w:sz w:val="22"/>
              </w:rPr>
            </w:pPr>
          </w:p>
        </w:tc>
        <w:tc>
          <w:tcPr>
            <w:tcW w:w="2018" w:type="dxa"/>
            <w:shd w:val="clear" w:color="auto" w:fill="CCFFFF"/>
            <w:vAlign w:val="center"/>
          </w:tcPr>
          <w:p w:rsidR="00CF7FFD" w:rsidRDefault="00CF7FFD" w:rsidP="00B55E10">
            <w:pPr>
              <w:rPr>
                <w:sz w:val="22"/>
              </w:rPr>
            </w:pPr>
            <w:r>
              <w:rPr>
                <w:sz w:val="22"/>
              </w:rPr>
              <w:t xml:space="preserve">Mental Health </w:t>
            </w:r>
          </w:p>
        </w:tc>
        <w:tc>
          <w:tcPr>
            <w:tcW w:w="2977" w:type="dxa"/>
            <w:vMerge/>
          </w:tcPr>
          <w:p w:rsidR="00CF7FFD" w:rsidRDefault="00CF7FFD" w:rsidP="00781F6A">
            <w:pPr>
              <w:rPr>
                <w:sz w:val="22"/>
              </w:rPr>
            </w:pPr>
          </w:p>
        </w:tc>
        <w:tc>
          <w:tcPr>
            <w:tcW w:w="3544" w:type="dxa"/>
            <w:vMerge/>
          </w:tcPr>
          <w:p w:rsidR="00CF7FFD" w:rsidRDefault="00CF7FFD" w:rsidP="00781F6A">
            <w:pPr>
              <w:rPr>
                <w:sz w:val="22"/>
              </w:rPr>
            </w:pPr>
          </w:p>
        </w:tc>
        <w:tc>
          <w:tcPr>
            <w:tcW w:w="3969" w:type="dxa"/>
            <w:shd w:val="clear" w:color="auto" w:fill="FFCC99"/>
          </w:tcPr>
          <w:p w:rsidR="00CF7FFD" w:rsidRDefault="00CF7FFD" w:rsidP="00781F6A">
            <w:pPr>
              <w:rPr>
                <w:sz w:val="22"/>
              </w:rPr>
            </w:pPr>
          </w:p>
        </w:tc>
      </w:tr>
      <w:tr w:rsidR="00CF7FFD" w:rsidTr="00F963B7">
        <w:tblPrEx>
          <w:tblCellMar>
            <w:top w:w="0" w:type="dxa"/>
            <w:bottom w:w="0" w:type="dxa"/>
          </w:tblCellMar>
        </w:tblPrEx>
        <w:trPr>
          <w:trHeight w:val="557"/>
        </w:trPr>
        <w:tc>
          <w:tcPr>
            <w:tcW w:w="2088" w:type="dxa"/>
            <w:vMerge/>
            <w:shd w:val="clear" w:color="auto" w:fill="CCFFFF"/>
          </w:tcPr>
          <w:p w:rsidR="00CF7FFD" w:rsidRPr="00534BCA" w:rsidRDefault="00CF7FFD" w:rsidP="00781F6A">
            <w:pPr>
              <w:rPr>
                <w:b/>
                <w:sz w:val="22"/>
              </w:rPr>
            </w:pPr>
          </w:p>
        </w:tc>
        <w:tc>
          <w:tcPr>
            <w:tcW w:w="2018" w:type="dxa"/>
            <w:shd w:val="clear" w:color="auto" w:fill="CCFFFF"/>
            <w:vAlign w:val="center"/>
          </w:tcPr>
          <w:p w:rsidR="00CF7FFD" w:rsidRDefault="00CF7FFD" w:rsidP="00B55E10">
            <w:pPr>
              <w:rPr>
                <w:sz w:val="22"/>
              </w:rPr>
            </w:pPr>
            <w:r>
              <w:rPr>
                <w:sz w:val="22"/>
              </w:rPr>
              <w:t>Learning Disability</w:t>
            </w:r>
          </w:p>
        </w:tc>
        <w:tc>
          <w:tcPr>
            <w:tcW w:w="2977" w:type="dxa"/>
            <w:vMerge/>
          </w:tcPr>
          <w:p w:rsidR="00CF7FFD" w:rsidRDefault="00CF7FFD" w:rsidP="00781F6A">
            <w:pPr>
              <w:rPr>
                <w:sz w:val="22"/>
              </w:rPr>
            </w:pPr>
          </w:p>
        </w:tc>
        <w:tc>
          <w:tcPr>
            <w:tcW w:w="3544" w:type="dxa"/>
            <w:vMerge/>
          </w:tcPr>
          <w:p w:rsidR="00CF7FFD" w:rsidRDefault="00CF7FFD" w:rsidP="00781F6A">
            <w:pPr>
              <w:rPr>
                <w:sz w:val="22"/>
              </w:rPr>
            </w:pPr>
          </w:p>
        </w:tc>
        <w:tc>
          <w:tcPr>
            <w:tcW w:w="3969" w:type="dxa"/>
            <w:shd w:val="clear" w:color="auto" w:fill="FFCC99"/>
          </w:tcPr>
          <w:p w:rsidR="00CF7FFD" w:rsidRDefault="00CF7FFD" w:rsidP="00781F6A">
            <w:pPr>
              <w:rPr>
                <w:sz w:val="22"/>
              </w:rPr>
            </w:pPr>
          </w:p>
        </w:tc>
      </w:tr>
      <w:tr w:rsidR="00163A6F" w:rsidTr="00F963B7">
        <w:tblPrEx>
          <w:tblCellMar>
            <w:top w:w="0" w:type="dxa"/>
            <w:bottom w:w="0" w:type="dxa"/>
          </w:tblCellMar>
        </w:tblPrEx>
        <w:trPr>
          <w:trHeight w:val="452"/>
        </w:trPr>
        <w:tc>
          <w:tcPr>
            <w:tcW w:w="2088" w:type="dxa"/>
            <w:shd w:val="clear" w:color="auto" w:fill="CCFFFF"/>
            <w:vAlign w:val="center"/>
          </w:tcPr>
          <w:p w:rsidR="00163A6F" w:rsidRPr="00534BCA" w:rsidRDefault="00163A6F" w:rsidP="0070176D">
            <w:pPr>
              <w:rPr>
                <w:b/>
                <w:sz w:val="22"/>
              </w:rPr>
            </w:pPr>
            <w:r w:rsidRPr="00534BCA">
              <w:rPr>
                <w:b/>
                <w:sz w:val="22"/>
              </w:rPr>
              <w:t>LGBT</w:t>
            </w:r>
          </w:p>
        </w:tc>
        <w:tc>
          <w:tcPr>
            <w:tcW w:w="2018" w:type="dxa"/>
            <w:shd w:val="clear" w:color="auto" w:fill="CCFFFF"/>
            <w:vAlign w:val="center"/>
          </w:tcPr>
          <w:p w:rsidR="00163A6F" w:rsidRDefault="00163A6F" w:rsidP="00B55E10">
            <w:pPr>
              <w:rPr>
                <w:sz w:val="22"/>
              </w:rPr>
            </w:pPr>
            <w:r>
              <w:rPr>
                <w:sz w:val="22"/>
              </w:rPr>
              <w:t>Lesbians</w:t>
            </w:r>
          </w:p>
        </w:tc>
        <w:tc>
          <w:tcPr>
            <w:tcW w:w="2977" w:type="dxa"/>
          </w:tcPr>
          <w:p w:rsidR="00163A6F" w:rsidRDefault="00CF7FFD" w:rsidP="00F963B7">
            <w:pPr>
              <w:rPr>
                <w:sz w:val="22"/>
              </w:rPr>
            </w:pPr>
            <w:r>
              <w:rPr>
                <w:sz w:val="22"/>
              </w:rPr>
              <w:t>Not applicable</w:t>
            </w: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02"/>
        </w:trPr>
        <w:tc>
          <w:tcPr>
            <w:tcW w:w="2088" w:type="dxa"/>
            <w:shd w:val="clear" w:color="auto" w:fill="CCFFFF"/>
            <w:vAlign w:val="center"/>
          </w:tcPr>
          <w:p w:rsidR="00163A6F" w:rsidRPr="00534BCA" w:rsidRDefault="00163A6F" w:rsidP="0070176D">
            <w:pPr>
              <w:rPr>
                <w:b/>
                <w:sz w:val="22"/>
              </w:rPr>
            </w:pPr>
          </w:p>
        </w:tc>
        <w:tc>
          <w:tcPr>
            <w:tcW w:w="2018" w:type="dxa"/>
            <w:shd w:val="clear" w:color="auto" w:fill="CCFFFF"/>
            <w:vAlign w:val="center"/>
          </w:tcPr>
          <w:p w:rsidR="00163A6F" w:rsidRDefault="00163A6F" w:rsidP="00B55E10">
            <w:pPr>
              <w:rPr>
                <w:sz w:val="22"/>
              </w:rPr>
            </w:pPr>
            <w:r>
              <w:rPr>
                <w:sz w:val="22"/>
              </w:rPr>
              <w:t>Gay Men</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51"/>
        </w:trPr>
        <w:tc>
          <w:tcPr>
            <w:tcW w:w="2088" w:type="dxa"/>
            <w:shd w:val="clear" w:color="auto" w:fill="CCFFFF"/>
            <w:vAlign w:val="center"/>
          </w:tcPr>
          <w:p w:rsidR="00163A6F" w:rsidRPr="00534BCA" w:rsidRDefault="00163A6F" w:rsidP="0070176D">
            <w:pPr>
              <w:rPr>
                <w:b/>
                <w:sz w:val="22"/>
              </w:rPr>
            </w:pPr>
          </w:p>
        </w:tc>
        <w:tc>
          <w:tcPr>
            <w:tcW w:w="2018" w:type="dxa"/>
            <w:shd w:val="clear" w:color="auto" w:fill="CCFFFF"/>
            <w:vAlign w:val="center"/>
          </w:tcPr>
          <w:p w:rsidR="00163A6F" w:rsidRDefault="00163A6F" w:rsidP="00B55E10">
            <w:pPr>
              <w:rPr>
                <w:sz w:val="22"/>
              </w:rPr>
            </w:pPr>
            <w:r>
              <w:rPr>
                <w:sz w:val="22"/>
              </w:rPr>
              <w:t>Bisexual</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874EAF" w:rsidTr="00F963B7">
        <w:tblPrEx>
          <w:tblCellMar>
            <w:top w:w="0" w:type="dxa"/>
            <w:bottom w:w="0" w:type="dxa"/>
          </w:tblCellMar>
        </w:tblPrEx>
        <w:tc>
          <w:tcPr>
            <w:tcW w:w="14596" w:type="dxa"/>
            <w:gridSpan w:val="5"/>
            <w:shd w:val="clear" w:color="auto" w:fill="auto"/>
            <w:vAlign w:val="center"/>
          </w:tcPr>
          <w:p w:rsidR="00874EAF" w:rsidRPr="00CD7794" w:rsidRDefault="00874EAF" w:rsidP="0070176D">
            <w:pPr>
              <w:rPr>
                <w:sz w:val="18"/>
                <w:szCs w:val="18"/>
              </w:rPr>
            </w:pPr>
          </w:p>
        </w:tc>
      </w:tr>
      <w:tr w:rsidR="00163A6F" w:rsidTr="00F963B7">
        <w:tblPrEx>
          <w:tblCellMar>
            <w:top w:w="0" w:type="dxa"/>
            <w:bottom w:w="0" w:type="dxa"/>
          </w:tblCellMar>
        </w:tblPrEx>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018" w:type="dxa"/>
            <w:shd w:val="clear" w:color="auto" w:fill="CCFFFF"/>
            <w:vAlign w:val="center"/>
          </w:tcPr>
          <w:p w:rsidR="00163A6F" w:rsidRDefault="00163A6F" w:rsidP="00B55E10">
            <w:pPr>
              <w:rPr>
                <w:sz w:val="22"/>
              </w:rPr>
            </w:pPr>
            <w:r>
              <w:rPr>
                <w:sz w:val="22"/>
              </w:rPr>
              <w:t>Older People (60 +)</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Younger People (16-25)</w:t>
            </w:r>
          </w:p>
        </w:tc>
        <w:tc>
          <w:tcPr>
            <w:tcW w:w="2977" w:type="dxa"/>
          </w:tcPr>
          <w:p w:rsidR="00163A6F" w:rsidRDefault="005D1F19" w:rsidP="00781F6A">
            <w:pPr>
              <w:rPr>
                <w:sz w:val="22"/>
              </w:rPr>
            </w:pPr>
            <w:r w:rsidRPr="005D1F19">
              <w:rPr>
                <w:sz w:val="22"/>
              </w:rPr>
              <w:t xml:space="preserve">EAC provides a mechanism for </w:t>
            </w:r>
            <w:r>
              <w:rPr>
                <w:sz w:val="22"/>
              </w:rPr>
              <w:t>y</w:t>
            </w:r>
            <w:r w:rsidR="00FB37DE">
              <w:rPr>
                <w:sz w:val="22"/>
              </w:rPr>
              <w:t>oung people</w:t>
            </w:r>
            <w:r w:rsidR="0095039B">
              <w:rPr>
                <w:sz w:val="22"/>
              </w:rPr>
              <w:t xml:space="preserve"> (those over school age but under 18)</w:t>
            </w:r>
            <w:r w:rsidR="00FB37DE">
              <w:rPr>
                <w:sz w:val="22"/>
              </w:rPr>
              <w:t xml:space="preserve"> to represent themselves at </w:t>
            </w:r>
            <w:r>
              <w:rPr>
                <w:sz w:val="22"/>
              </w:rPr>
              <w:t xml:space="preserve">EAC </w:t>
            </w:r>
            <w:r w:rsidR="00FB37DE">
              <w:rPr>
                <w:sz w:val="22"/>
              </w:rPr>
              <w:t>hearings</w:t>
            </w:r>
            <w:r>
              <w:rPr>
                <w:sz w:val="22"/>
              </w:rPr>
              <w:t>. They choose to attend or not. If they attend this can be</w:t>
            </w:r>
            <w:r w:rsidR="00FB37DE">
              <w:rPr>
                <w:sz w:val="22"/>
              </w:rPr>
              <w:t xml:space="preserve"> with or without</w:t>
            </w:r>
            <w:r>
              <w:rPr>
                <w:sz w:val="22"/>
              </w:rPr>
              <w:t xml:space="preserve"> </w:t>
            </w:r>
            <w:r w:rsidR="00FB37DE">
              <w:rPr>
                <w:sz w:val="22"/>
              </w:rPr>
              <w:t>support</w:t>
            </w:r>
            <w:r w:rsidR="0095039B">
              <w:rPr>
                <w:sz w:val="22"/>
              </w:rPr>
              <w:t>/representation</w:t>
            </w:r>
            <w:r w:rsidR="00821CD7">
              <w:rPr>
                <w:sz w:val="22"/>
              </w:rPr>
              <w:t xml:space="preserve">. The procedures at the Committee are explained beforehand. Young persons will have an opportunity to present their case and provide their views. </w:t>
            </w:r>
            <w:r w:rsidR="00D62E1A">
              <w:rPr>
                <w:sz w:val="22"/>
              </w:rPr>
              <w:t xml:space="preserve"> </w:t>
            </w:r>
          </w:p>
        </w:tc>
        <w:tc>
          <w:tcPr>
            <w:tcW w:w="3544" w:type="dxa"/>
          </w:tcPr>
          <w:p w:rsidR="00163A6F" w:rsidRDefault="00821CD7" w:rsidP="00781F6A">
            <w:pPr>
              <w:rPr>
                <w:sz w:val="22"/>
              </w:rPr>
            </w:pPr>
            <w:r>
              <w:rPr>
                <w:sz w:val="22"/>
              </w:rPr>
              <w:t>Young people will</w:t>
            </w:r>
            <w:r w:rsidR="00D62E1A" w:rsidRPr="00D62E1A">
              <w:rPr>
                <w:sz w:val="22"/>
              </w:rPr>
              <w:t xml:space="preserve"> need to </w:t>
            </w:r>
            <w:r>
              <w:rPr>
                <w:sz w:val="22"/>
              </w:rPr>
              <w:t>access</w:t>
            </w:r>
            <w:r w:rsidR="0095039B">
              <w:rPr>
                <w:sz w:val="22"/>
              </w:rPr>
              <w:t xml:space="preserve"> support/representation if required. They will be responsible for sourcing funding if required.</w:t>
            </w:r>
            <w:r w:rsidR="00D62E1A" w:rsidRPr="00D62E1A">
              <w:rPr>
                <w:sz w:val="22"/>
              </w:rPr>
              <w:t xml:space="preserve"> </w:t>
            </w: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91"/>
        </w:trPr>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Children (0-16)</w:t>
            </w:r>
          </w:p>
        </w:tc>
        <w:tc>
          <w:tcPr>
            <w:tcW w:w="2977" w:type="dxa"/>
          </w:tcPr>
          <w:p w:rsidR="00821CD7" w:rsidRDefault="00CF7FFD" w:rsidP="003F0FC9">
            <w:pPr>
              <w:rPr>
                <w:sz w:val="22"/>
              </w:rPr>
            </w:pPr>
            <w:r>
              <w:rPr>
                <w:sz w:val="22"/>
              </w:rPr>
              <w:t xml:space="preserve">Positive impact on the outcome of appeals for parents/appellants </w:t>
            </w:r>
            <w:r w:rsidR="003F0FC9">
              <w:rPr>
                <w:sz w:val="22"/>
              </w:rPr>
              <w:t>of</w:t>
            </w:r>
            <w:r>
              <w:rPr>
                <w:sz w:val="22"/>
              </w:rPr>
              <w:t xml:space="preserve"> children and young people </w:t>
            </w:r>
            <w:r w:rsidR="003F0FC9">
              <w:rPr>
                <w:sz w:val="22"/>
              </w:rPr>
              <w:t>of school age</w:t>
            </w:r>
            <w:r>
              <w:rPr>
                <w:sz w:val="22"/>
              </w:rPr>
              <w:t xml:space="preserve"> EAC provides a mechanism for parents to represent their children at EAC hearings</w:t>
            </w:r>
            <w:r w:rsidR="00C43424">
              <w:rPr>
                <w:sz w:val="22"/>
              </w:rPr>
              <w:t xml:space="preserve"> (</w:t>
            </w:r>
            <w:r w:rsidR="006C4B8F">
              <w:rPr>
                <w:sz w:val="22"/>
              </w:rPr>
              <w:t xml:space="preserve">in certain </w:t>
            </w:r>
            <w:r w:rsidR="000F2F93">
              <w:rPr>
                <w:sz w:val="22"/>
              </w:rPr>
              <w:t xml:space="preserve">instances a </w:t>
            </w:r>
            <w:r w:rsidR="00C43424">
              <w:rPr>
                <w:sz w:val="22"/>
              </w:rPr>
              <w:t xml:space="preserve">child can appeal </w:t>
            </w:r>
            <w:r w:rsidR="000F2F93">
              <w:rPr>
                <w:sz w:val="22"/>
              </w:rPr>
              <w:t xml:space="preserve">an </w:t>
            </w:r>
            <w:r w:rsidR="00C43424">
              <w:rPr>
                <w:sz w:val="22"/>
              </w:rPr>
              <w:t xml:space="preserve">exclusion). </w:t>
            </w:r>
            <w:r w:rsidR="005D1F19">
              <w:rPr>
                <w:sz w:val="22"/>
              </w:rPr>
              <w:t xml:space="preserve"> They choose to</w:t>
            </w:r>
            <w:r w:rsidR="00FB37DE">
              <w:rPr>
                <w:sz w:val="22"/>
              </w:rPr>
              <w:t xml:space="preserve"> </w:t>
            </w:r>
            <w:r w:rsidR="005D1F19">
              <w:rPr>
                <w:sz w:val="22"/>
              </w:rPr>
              <w:t xml:space="preserve">attend or not. If they attend this can be </w:t>
            </w:r>
            <w:r w:rsidR="00FB37DE">
              <w:rPr>
                <w:sz w:val="22"/>
              </w:rPr>
              <w:t>with or without support</w:t>
            </w:r>
            <w:r w:rsidR="0095039B">
              <w:rPr>
                <w:sz w:val="22"/>
              </w:rPr>
              <w:t>/</w:t>
            </w:r>
            <w:r w:rsidR="00F963B7">
              <w:rPr>
                <w:sz w:val="22"/>
              </w:rPr>
              <w:t xml:space="preserve"> </w:t>
            </w:r>
            <w:r w:rsidR="0095039B">
              <w:rPr>
                <w:sz w:val="22"/>
              </w:rPr>
              <w:t>representation</w:t>
            </w:r>
            <w:r w:rsidR="00821CD7" w:rsidRPr="00821CD7">
              <w:rPr>
                <w:sz w:val="22"/>
              </w:rPr>
              <w:t xml:space="preserve"> The procedures at the Committee are explained beforehand</w:t>
            </w:r>
            <w:r w:rsidR="00821CD7">
              <w:rPr>
                <w:sz w:val="22"/>
              </w:rPr>
              <w:t>. Parents</w:t>
            </w:r>
            <w:r w:rsidR="00821CD7" w:rsidRPr="00821CD7">
              <w:rPr>
                <w:sz w:val="22"/>
              </w:rPr>
              <w:t xml:space="preserve"> will have an opportunity to</w:t>
            </w:r>
            <w:r w:rsidR="00821CD7">
              <w:rPr>
                <w:sz w:val="22"/>
              </w:rPr>
              <w:t xml:space="preserve"> present their case and </w:t>
            </w:r>
            <w:r w:rsidR="00821CD7" w:rsidRPr="00821CD7">
              <w:rPr>
                <w:sz w:val="22"/>
              </w:rPr>
              <w:t xml:space="preserve">provide </w:t>
            </w:r>
            <w:r w:rsidR="00821CD7">
              <w:rPr>
                <w:sz w:val="22"/>
              </w:rPr>
              <w:t>their</w:t>
            </w:r>
            <w:r w:rsidR="00821CD7" w:rsidRPr="00821CD7">
              <w:rPr>
                <w:sz w:val="22"/>
              </w:rPr>
              <w:t xml:space="preserve"> views</w:t>
            </w:r>
            <w:r w:rsidR="00821CD7">
              <w:rPr>
                <w:sz w:val="22"/>
              </w:rPr>
              <w:t>, along with the child’s views.</w:t>
            </w:r>
          </w:p>
        </w:tc>
        <w:tc>
          <w:tcPr>
            <w:tcW w:w="3544" w:type="dxa"/>
          </w:tcPr>
          <w:p w:rsidR="00163A6F" w:rsidRDefault="00821CD7" w:rsidP="00781F6A">
            <w:pPr>
              <w:rPr>
                <w:sz w:val="22"/>
              </w:rPr>
            </w:pPr>
            <w:r>
              <w:rPr>
                <w:sz w:val="22"/>
              </w:rPr>
              <w:t>Parents will</w:t>
            </w:r>
            <w:r w:rsidR="0095039B" w:rsidRPr="0095039B">
              <w:rPr>
                <w:sz w:val="22"/>
              </w:rPr>
              <w:t xml:space="preserve"> need to </w:t>
            </w:r>
            <w:r>
              <w:rPr>
                <w:sz w:val="22"/>
              </w:rPr>
              <w:t>access</w:t>
            </w:r>
            <w:r w:rsidR="0095039B" w:rsidRPr="0095039B">
              <w:rPr>
                <w:sz w:val="22"/>
              </w:rPr>
              <w:t xml:space="preserve"> support</w:t>
            </w:r>
            <w:r w:rsidR="005D1F19">
              <w:rPr>
                <w:sz w:val="22"/>
              </w:rPr>
              <w:t>/representation</w:t>
            </w:r>
            <w:r w:rsidR="0095039B" w:rsidRPr="0095039B">
              <w:rPr>
                <w:sz w:val="22"/>
              </w:rPr>
              <w:t xml:space="preserve"> if required. They will be responsible for sourcing funding if required.</w:t>
            </w:r>
          </w:p>
        </w:tc>
        <w:tc>
          <w:tcPr>
            <w:tcW w:w="3969" w:type="dxa"/>
            <w:shd w:val="clear" w:color="auto" w:fill="FFCC99"/>
          </w:tcPr>
          <w:p w:rsidR="00163A6F" w:rsidRDefault="00163A6F" w:rsidP="00781F6A">
            <w:pPr>
              <w:rPr>
                <w:sz w:val="22"/>
              </w:rPr>
            </w:pPr>
          </w:p>
        </w:tc>
      </w:tr>
      <w:tr w:rsidR="00874EAF" w:rsidTr="00F963B7">
        <w:tblPrEx>
          <w:tblCellMar>
            <w:top w:w="0" w:type="dxa"/>
            <w:bottom w:w="0" w:type="dxa"/>
          </w:tblCellMar>
        </w:tblPrEx>
        <w:tc>
          <w:tcPr>
            <w:tcW w:w="14596" w:type="dxa"/>
            <w:gridSpan w:val="5"/>
            <w:shd w:val="clear" w:color="auto" w:fill="auto"/>
            <w:vAlign w:val="center"/>
          </w:tcPr>
          <w:p w:rsidR="00874EAF" w:rsidRPr="00CD7794" w:rsidRDefault="00874EAF" w:rsidP="00B55E10">
            <w:pPr>
              <w:rPr>
                <w:sz w:val="18"/>
                <w:szCs w:val="18"/>
              </w:rPr>
            </w:pPr>
          </w:p>
        </w:tc>
      </w:tr>
      <w:tr w:rsidR="00163A6F" w:rsidTr="00F963B7">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018" w:type="dxa"/>
            <w:shd w:val="clear" w:color="auto" w:fill="CCFFFF"/>
            <w:vAlign w:val="center"/>
          </w:tcPr>
          <w:p w:rsidR="00163A6F" w:rsidRDefault="00163A6F" w:rsidP="00B55E10">
            <w:pPr>
              <w:rPr>
                <w:sz w:val="22"/>
              </w:rPr>
            </w:pPr>
            <w:r>
              <w:rPr>
                <w:sz w:val="22"/>
              </w:rPr>
              <w:t>Women</w:t>
            </w:r>
          </w:p>
        </w:tc>
        <w:tc>
          <w:tcPr>
            <w:tcW w:w="2977" w:type="dxa"/>
          </w:tcPr>
          <w:p w:rsidR="00163A6F" w:rsidRDefault="00CF7FFD" w:rsidP="00781F6A">
            <w:pPr>
              <w:rPr>
                <w:sz w:val="22"/>
              </w:rPr>
            </w:pPr>
            <w:r>
              <w:rPr>
                <w:sz w:val="22"/>
              </w:rPr>
              <w:t>Not applicable</w:t>
            </w: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43"/>
        </w:trPr>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Men</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93"/>
        </w:trPr>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Lesbians</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Tr="00F963B7">
        <w:tblPrEx>
          <w:tblCellMar>
            <w:top w:w="0" w:type="dxa"/>
            <w:bottom w:w="0" w:type="dxa"/>
          </w:tblCellMar>
        </w:tblPrEx>
        <w:trPr>
          <w:trHeight w:val="501"/>
        </w:trPr>
        <w:tc>
          <w:tcPr>
            <w:tcW w:w="2088" w:type="dxa"/>
            <w:shd w:val="clear" w:color="auto" w:fill="CCFFFF"/>
          </w:tcPr>
          <w:p w:rsidR="00163A6F" w:rsidRPr="00534BCA" w:rsidRDefault="00163A6F" w:rsidP="00781F6A">
            <w:pPr>
              <w:rPr>
                <w:b/>
                <w:sz w:val="22"/>
              </w:rPr>
            </w:pPr>
          </w:p>
        </w:tc>
        <w:tc>
          <w:tcPr>
            <w:tcW w:w="2018" w:type="dxa"/>
            <w:shd w:val="clear" w:color="auto" w:fill="CCFFFF"/>
            <w:vAlign w:val="center"/>
          </w:tcPr>
          <w:p w:rsidR="00163A6F" w:rsidRDefault="00163A6F" w:rsidP="00B55E10">
            <w:pPr>
              <w:rPr>
                <w:sz w:val="22"/>
              </w:rPr>
            </w:pPr>
            <w:r>
              <w:rPr>
                <w:sz w:val="22"/>
              </w:rPr>
              <w:t>Gay Men</w:t>
            </w:r>
          </w:p>
        </w:tc>
        <w:tc>
          <w:tcPr>
            <w:tcW w:w="2977" w:type="dxa"/>
          </w:tcPr>
          <w:p w:rsidR="00163A6F" w:rsidRDefault="00163A6F" w:rsidP="00781F6A">
            <w:pPr>
              <w:rPr>
                <w:sz w:val="22"/>
              </w:rPr>
            </w:pP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874EAF" w:rsidTr="00F963B7">
        <w:tblPrEx>
          <w:tblCellMar>
            <w:top w:w="0" w:type="dxa"/>
            <w:bottom w:w="0" w:type="dxa"/>
          </w:tblCellMar>
        </w:tblPrEx>
        <w:trPr>
          <w:trHeight w:val="70"/>
        </w:trPr>
        <w:tc>
          <w:tcPr>
            <w:tcW w:w="14596" w:type="dxa"/>
            <w:gridSpan w:val="5"/>
            <w:shd w:val="clear" w:color="auto" w:fill="auto"/>
            <w:vAlign w:val="center"/>
          </w:tcPr>
          <w:p w:rsidR="00874EAF" w:rsidRPr="00CD7794" w:rsidRDefault="00874EAF" w:rsidP="00B55E10">
            <w:pPr>
              <w:rPr>
                <w:sz w:val="18"/>
                <w:szCs w:val="18"/>
              </w:rPr>
            </w:pPr>
          </w:p>
        </w:tc>
      </w:tr>
      <w:tr w:rsidR="00163A6F" w:rsidTr="00F963B7">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018" w:type="dxa"/>
            <w:shd w:val="clear" w:color="auto" w:fill="CCFFFF"/>
            <w:vAlign w:val="center"/>
          </w:tcPr>
          <w:p w:rsidR="00163A6F" w:rsidRDefault="00163A6F" w:rsidP="00B55E10">
            <w:pPr>
              <w:rPr>
                <w:sz w:val="22"/>
              </w:rPr>
            </w:pPr>
            <w:r>
              <w:rPr>
                <w:sz w:val="22"/>
              </w:rPr>
              <w:t>Women</w:t>
            </w:r>
          </w:p>
        </w:tc>
        <w:tc>
          <w:tcPr>
            <w:tcW w:w="2977" w:type="dxa"/>
          </w:tcPr>
          <w:p w:rsidR="00163A6F" w:rsidRDefault="00CF7FFD" w:rsidP="00781F6A">
            <w:pPr>
              <w:rPr>
                <w:sz w:val="22"/>
              </w:rPr>
            </w:pPr>
            <w:r>
              <w:rPr>
                <w:sz w:val="22"/>
              </w:rPr>
              <w:t>Not applicable</w:t>
            </w: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r w:rsidR="00163A6F" w:rsidRPr="00CD7794" w:rsidTr="00F963B7">
        <w:tblPrEx>
          <w:tblCellMar>
            <w:top w:w="0" w:type="dxa"/>
            <w:bottom w:w="0" w:type="dxa"/>
          </w:tblCellMar>
        </w:tblPrEx>
        <w:trPr>
          <w:trHeight w:val="70"/>
        </w:trPr>
        <w:tc>
          <w:tcPr>
            <w:tcW w:w="14596" w:type="dxa"/>
            <w:gridSpan w:val="5"/>
            <w:shd w:val="clear" w:color="auto" w:fill="auto"/>
            <w:vAlign w:val="center"/>
          </w:tcPr>
          <w:p w:rsidR="00163A6F" w:rsidRPr="00CD7794" w:rsidRDefault="00163A6F" w:rsidP="00163A6F">
            <w:pPr>
              <w:rPr>
                <w:sz w:val="18"/>
                <w:szCs w:val="18"/>
              </w:rPr>
            </w:pPr>
          </w:p>
        </w:tc>
      </w:tr>
      <w:tr w:rsidR="00163A6F" w:rsidTr="00F963B7">
        <w:tblPrEx>
          <w:tblCellMar>
            <w:top w:w="0" w:type="dxa"/>
            <w:bottom w:w="0" w:type="dxa"/>
          </w:tblCellMar>
        </w:tblPrEx>
        <w:tc>
          <w:tcPr>
            <w:tcW w:w="2088" w:type="dxa"/>
            <w:shd w:val="clear" w:color="auto" w:fill="CCFFFF"/>
          </w:tcPr>
          <w:p w:rsidR="00163A6F" w:rsidRDefault="00163A6F" w:rsidP="00781F6A">
            <w:pPr>
              <w:rPr>
                <w:sz w:val="22"/>
              </w:rPr>
            </w:pPr>
            <w:r w:rsidRPr="00534BCA">
              <w:rPr>
                <w:b/>
                <w:sz w:val="22"/>
              </w:rPr>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13" w:history="1">
              <w:r w:rsidRPr="00CD7794">
                <w:rPr>
                  <w:rStyle w:val="Hyperlink"/>
                  <w:sz w:val="20"/>
                </w:rPr>
                <w:t>here.</w:t>
              </w:r>
            </w:hyperlink>
          </w:p>
        </w:tc>
        <w:tc>
          <w:tcPr>
            <w:tcW w:w="2018" w:type="dxa"/>
            <w:shd w:val="clear" w:color="auto" w:fill="CCFFFF"/>
            <w:vAlign w:val="center"/>
          </w:tcPr>
          <w:p w:rsidR="00163A6F" w:rsidRDefault="00163A6F" w:rsidP="00B55E10">
            <w:pPr>
              <w:rPr>
                <w:sz w:val="22"/>
              </w:rPr>
            </w:pPr>
            <w:r>
              <w:rPr>
                <w:sz w:val="22"/>
              </w:rPr>
              <w:t>See note</w:t>
            </w:r>
          </w:p>
        </w:tc>
        <w:tc>
          <w:tcPr>
            <w:tcW w:w="2977" w:type="dxa"/>
          </w:tcPr>
          <w:p w:rsidR="00163A6F" w:rsidRDefault="00CF7FFD" w:rsidP="00CF7FFD">
            <w:pPr>
              <w:rPr>
                <w:sz w:val="22"/>
              </w:rPr>
            </w:pPr>
            <w:r>
              <w:rPr>
                <w:sz w:val="22"/>
              </w:rPr>
              <w:t>The EAC hearings process is non-partisan, its sole function being to facilitate access to justice</w:t>
            </w:r>
            <w:r w:rsidR="003F0FC9">
              <w:rPr>
                <w:sz w:val="22"/>
              </w:rPr>
              <w:t xml:space="preserve"> in terms of</w:t>
            </w:r>
            <w:r w:rsidR="00A37D1D">
              <w:rPr>
                <w:sz w:val="22"/>
              </w:rPr>
              <w:t xml:space="preserve"> appeals regarding </w:t>
            </w:r>
            <w:r>
              <w:rPr>
                <w:sz w:val="22"/>
              </w:rPr>
              <w:t>placing request refusals and exclusions</w:t>
            </w:r>
            <w:r w:rsidR="00A37D1D">
              <w:rPr>
                <w:sz w:val="22"/>
              </w:rPr>
              <w:t xml:space="preserve"> from school.</w:t>
            </w:r>
          </w:p>
        </w:tc>
        <w:tc>
          <w:tcPr>
            <w:tcW w:w="3544" w:type="dxa"/>
          </w:tcPr>
          <w:p w:rsidR="00163A6F" w:rsidRDefault="00163A6F" w:rsidP="00781F6A">
            <w:pPr>
              <w:rPr>
                <w:sz w:val="22"/>
              </w:rPr>
            </w:pPr>
          </w:p>
        </w:tc>
        <w:tc>
          <w:tcPr>
            <w:tcW w:w="3969" w:type="dxa"/>
            <w:shd w:val="clear" w:color="auto" w:fill="FFCC99"/>
          </w:tcPr>
          <w:p w:rsidR="00163A6F" w:rsidRDefault="00163A6F" w:rsidP="00781F6A">
            <w:pPr>
              <w:rPr>
                <w:sz w:val="22"/>
              </w:rPr>
            </w:pPr>
          </w:p>
        </w:tc>
      </w:tr>
    </w:tbl>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63A6F" w:rsidRDefault="00AE6831" w:rsidP="00F963B7">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14" w:history="1">
        <w:r w:rsidR="0070176D" w:rsidRPr="0070176D">
          <w:rPr>
            <w:rStyle w:val="Hyperlink"/>
            <w:sz w:val="18"/>
            <w:szCs w:val="18"/>
          </w:rPr>
          <w:t>here.</w:t>
        </w:r>
      </w:hyperlink>
    </w:p>
    <w:p w:rsidR="00163A6F" w:rsidRPr="00711922" w:rsidRDefault="00711922" w:rsidP="00405005">
      <w:pPr>
        <w:ind w:left="360"/>
        <w:rPr>
          <w:sz w:val="32"/>
          <w:szCs w:val="32"/>
        </w:rPr>
      </w:pPr>
      <w:r>
        <w:rPr>
          <w:sz w:val="32"/>
          <w:szCs w:val="32"/>
        </w:rPr>
        <w:br w:type="page"/>
      </w:r>
      <w:r w:rsidRPr="00711922">
        <w:rPr>
          <w:sz w:val="32"/>
          <w:szCs w:val="32"/>
        </w:rPr>
        <w:lastRenderedPageBreak/>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9"/>
      </w:tblGrid>
      <w:tr w:rsidR="00163A6F" w:rsidRPr="00CD7794" w:rsidTr="00F963B7">
        <w:tblPrEx>
          <w:tblCellMar>
            <w:top w:w="0" w:type="dxa"/>
            <w:bottom w:w="0" w:type="dxa"/>
          </w:tblCellMar>
        </w:tblPrEx>
        <w:trPr>
          <w:trHeight w:val="70"/>
        </w:trPr>
        <w:tc>
          <w:tcPr>
            <w:tcW w:w="5000" w:type="pct"/>
            <w:shd w:val="clear" w:color="auto" w:fill="auto"/>
            <w:vAlign w:val="center"/>
          </w:tcPr>
          <w:p w:rsidR="00F766CD" w:rsidRDefault="003F0FC9" w:rsidP="005427A5">
            <w:pPr>
              <w:rPr>
                <w:szCs w:val="24"/>
              </w:rPr>
            </w:pPr>
            <w:r w:rsidRPr="00A13ABE">
              <w:rPr>
                <w:szCs w:val="24"/>
              </w:rPr>
              <w:t>Typically this would impa</w:t>
            </w:r>
            <w:r w:rsidR="00ED6D23">
              <w:rPr>
                <w:szCs w:val="24"/>
              </w:rPr>
              <w:t>ct the following areas:-</w:t>
            </w:r>
            <w:r w:rsidRPr="00A13ABE">
              <w:rPr>
                <w:szCs w:val="24"/>
              </w:rPr>
              <w:t xml:space="preserve"> disability, race/ethnicity. There is an awareness of the pathways to resolve any barriers here, for example via the translation service provided by Cordia and the service available through the Sensory Impairment Service. In addition the Council has disabled access points for anyone requiring wheelchair acces</w:t>
            </w:r>
            <w:r w:rsidR="004627A9" w:rsidRPr="00A13ABE">
              <w:rPr>
                <w:szCs w:val="24"/>
              </w:rPr>
              <w:t>s</w:t>
            </w:r>
            <w:r w:rsidR="00F766CD">
              <w:rPr>
                <w:szCs w:val="24"/>
              </w:rPr>
              <w:t>, and the ability to have virtual hearing may support those with disabilities</w:t>
            </w:r>
            <w:r w:rsidR="004627A9" w:rsidRPr="00A13ABE">
              <w:rPr>
                <w:szCs w:val="24"/>
              </w:rPr>
              <w:t>.</w:t>
            </w:r>
            <w:r w:rsidR="00F766CD">
              <w:rPr>
                <w:szCs w:val="24"/>
              </w:rPr>
              <w:t xml:space="preserve">  The appeals process can also be conducted by written representation if requested by parents.</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9"/>
      </w:tblGrid>
      <w:tr w:rsidR="00163A6F" w:rsidRPr="00CD7794" w:rsidTr="00F963B7">
        <w:tblPrEx>
          <w:tblCellMar>
            <w:top w:w="0" w:type="dxa"/>
            <w:bottom w:w="0" w:type="dxa"/>
          </w:tblCellMar>
        </w:tblPrEx>
        <w:trPr>
          <w:trHeight w:val="70"/>
        </w:trPr>
        <w:tc>
          <w:tcPr>
            <w:tcW w:w="5000" w:type="pct"/>
            <w:shd w:val="clear" w:color="auto" w:fill="auto"/>
            <w:vAlign w:val="center"/>
          </w:tcPr>
          <w:p w:rsidR="00711922" w:rsidRPr="004627A9" w:rsidRDefault="004627A9" w:rsidP="005427A5">
            <w:pPr>
              <w:rPr>
                <w:szCs w:val="24"/>
              </w:rPr>
            </w:pPr>
            <w:r w:rsidRPr="004627A9">
              <w:rPr>
                <w:szCs w:val="24"/>
              </w:rPr>
              <w:t>No significant socio-economic impacts have been identified at this time.</w:t>
            </w:r>
          </w:p>
          <w:p w:rsidR="00711922" w:rsidRPr="00CD7794" w:rsidRDefault="00711922" w:rsidP="005427A5">
            <w:pPr>
              <w:rPr>
                <w:sz w:val="18"/>
                <w:szCs w:val="18"/>
              </w:rPr>
            </w:pPr>
          </w:p>
        </w:tc>
      </w:tr>
    </w:tbl>
    <w:p w:rsidR="00711922" w:rsidRDefault="00711922" w:rsidP="00711922">
      <w:pPr>
        <w:rPr>
          <w:sz w:val="18"/>
          <w:szCs w:val="18"/>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9"/>
      </w:tblGrid>
      <w:tr w:rsidR="00711922" w:rsidRPr="00CD7794" w:rsidTr="00F963B7">
        <w:tblPrEx>
          <w:tblCellMar>
            <w:top w:w="0" w:type="dxa"/>
            <w:bottom w:w="0" w:type="dxa"/>
          </w:tblCellMar>
        </w:tblPrEx>
        <w:trPr>
          <w:trHeight w:val="70"/>
        </w:trPr>
        <w:tc>
          <w:tcPr>
            <w:tcW w:w="5000" w:type="pct"/>
            <w:shd w:val="clear" w:color="auto" w:fill="auto"/>
            <w:vAlign w:val="center"/>
          </w:tcPr>
          <w:p w:rsidR="00711922" w:rsidRPr="004627A9" w:rsidRDefault="004627A9" w:rsidP="005427A5">
            <w:pPr>
              <w:rPr>
                <w:szCs w:val="24"/>
              </w:rPr>
            </w:pPr>
            <w:r w:rsidRPr="004627A9">
              <w:rPr>
                <w:szCs w:val="24"/>
              </w:rPr>
              <w:t>The EAC hearing process upholds the principles contained in the E</w:t>
            </w:r>
            <w:r w:rsidR="006F1180">
              <w:rPr>
                <w:szCs w:val="24"/>
              </w:rPr>
              <w:t xml:space="preserve">uropean Convention on Human Rights </w:t>
            </w:r>
            <w:r w:rsidR="00F766CD">
              <w:rPr>
                <w:szCs w:val="24"/>
              </w:rPr>
              <w:t xml:space="preserve">and complies with legislation to </w:t>
            </w:r>
            <w:r w:rsidR="00F64FF7">
              <w:rPr>
                <w:szCs w:val="24"/>
              </w:rPr>
              <w:t xml:space="preserve">facilitate </w:t>
            </w:r>
            <w:r w:rsidRPr="004627A9">
              <w:rPr>
                <w:szCs w:val="24"/>
              </w:rPr>
              <w:t>access</w:t>
            </w:r>
            <w:r w:rsidR="00F64FF7">
              <w:rPr>
                <w:szCs w:val="24"/>
              </w:rPr>
              <w:t xml:space="preserve"> to the hearing process</w:t>
            </w:r>
            <w:r w:rsidRPr="004627A9">
              <w:rPr>
                <w:szCs w:val="24"/>
              </w:rPr>
              <w:t xml:space="preserve"> for appellants to redress </w:t>
            </w:r>
            <w:r w:rsidR="00F64FF7">
              <w:rPr>
                <w:szCs w:val="24"/>
              </w:rPr>
              <w:t>the reasons for refusal of placing r</w:t>
            </w:r>
            <w:r w:rsidRPr="004627A9">
              <w:rPr>
                <w:szCs w:val="24"/>
              </w:rPr>
              <w:t>equests and exclusions from schools.</w:t>
            </w:r>
            <w:r w:rsidR="00FF1171">
              <w:rPr>
                <w:szCs w:val="24"/>
              </w:rPr>
              <w:t xml:space="preserve"> </w:t>
            </w:r>
            <w:r w:rsidR="00E44CC8">
              <w:rPr>
                <w:szCs w:val="24"/>
              </w:rPr>
              <w:t>There is also an awareness of the United Nations Convention on The Rights of The Child which the Scottish Government have given a commitment to incorporate into Scot</w:t>
            </w:r>
            <w:r w:rsidR="0029690B">
              <w:rPr>
                <w:szCs w:val="24"/>
              </w:rPr>
              <w:t>tish</w:t>
            </w:r>
            <w:r w:rsidR="00E44CC8">
              <w:rPr>
                <w:szCs w:val="24"/>
              </w:rPr>
              <w:t xml:space="preserve"> Law</w:t>
            </w:r>
            <w:r w:rsidR="0029690B">
              <w:rPr>
                <w:szCs w:val="24"/>
              </w:rPr>
              <w:t xml:space="preserve"> to the extent that they have power to do so</w:t>
            </w:r>
            <w:r w:rsidR="00E44CC8">
              <w:rPr>
                <w:szCs w:val="24"/>
              </w:rPr>
              <w:t xml:space="preserve">. </w:t>
            </w:r>
          </w:p>
          <w:p w:rsidR="00711922" w:rsidRPr="00CD7794" w:rsidRDefault="00711922" w:rsidP="005427A5">
            <w:pPr>
              <w:rPr>
                <w:sz w:val="18"/>
                <w:szCs w:val="18"/>
              </w:rPr>
            </w:pPr>
          </w:p>
        </w:tc>
      </w:tr>
    </w:tbl>
    <w:p w:rsidR="00711922" w:rsidRDefault="00711922" w:rsidP="00405005">
      <w:pPr>
        <w:ind w:left="360"/>
        <w:rPr>
          <w:sz w:val="18"/>
          <w:szCs w:val="18"/>
        </w:r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ED47F5" w:rsidTr="005427A5">
        <w:tblPrEx>
          <w:tblCellMar>
            <w:top w:w="0" w:type="dxa"/>
            <w:bottom w:w="0" w:type="dxa"/>
          </w:tblCellMar>
        </w:tblPrEx>
        <w:tc>
          <w:tcPr>
            <w:tcW w:w="11357" w:type="dxa"/>
            <w:tcBorders>
              <w:bottom w:val="single" w:sz="4" w:space="0" w:color="auto"/>
            </w:tcBorders>
            <w:shd w:val="clear" w:color="auto" w:fill="D9D9D9"/>
          </w:tcPr>
          <w:p w:rsidR="00460F93" w:rsidRPr="00F963B7" w:rsidRDefault="00460F93" w:rsidP="005427A5">
            <w:pPr>
              <w:rPr>
                <w:b/>
                <w:sz w:val="12"/>
                <w:szCs w:val="12"/>
              </w:rPr>
            </w:pPr>
          </w:p>
          <w:p w:rsidR="00460F93" w:rsidRPr="002101EA" w:rsidRDefault="00460F93" w:rsidP="002101EA">
            <w:pPr>
              <w:jc w:val="center"/>
              <w:rPr>
                <w:b/>
                <w:sz w:val="36"/>
                <w:szCs w:val="36"/>
              </w:rPr>
            </w:pPr>
            <w:r w:rsidRPr="002101EA">
              <w:rPr>
                <w:b/>
                <w:sz w:val="36"/>
                <w:szCs w:val="36"/>
              </w:rPr>
              <w:t>Screening Outcome</w:t>
            </w:r>
          </w:p>
        </w:tc>
        <w:tc>
          <w:tcPr>
            <w:tcW w:w="2693" w:type="dxa"/>
            <w:shd w:val="clear" w:color="auto" w:fill="D9D9D9"/>
          </w:tcPr>
          <w:p w:rsidR="00460F93" w:rsidRPr="00F963B7" w:rsidRDefault="00460F93" w:rsidP="005427A5">
            <w:pPr>
              <w:rPr>
                <w:b/>
                <w:sz w:val="12"/>
                <w:szCs w:val="12"/>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F963B7" w:rsidRDefault="00460F93" w:rsidP="005427A5">
            <w:pPr>
              <w:rPr>
                <w:b/>
                <w:sz w:val="12"/>
                <w:szCs w:val="12"/>
              </w:rPr>
            </w:pPr>
          </w:p>
        </w:tc>
      </w:tr>
      <w:tr w:rsidR="00460F93" w:rsidTr="00CE4FCB">
        <w:tblPrEx>
          <w:tblCellMar>
            <w:top w:w="0" w:type="dxa"/>
            <w:bottom w:w="0" w:type="dxa"/>
          </w:tblCellMar>
        </w:tblPrEx>
        <w:tc>
          <w:tcPr>
            <w:tcW w:w="11357" w:type="dxa"/>
            <w:shd w:val="clear" w:color="auto" w:fill="CCFFFF"/>
          </w:tcPr>
          <w:p w:rsidR="00460F93" w:rsidRPr="002101EA" w:rsidRDefault="00460F93" w:rsidP="005427A5">
            <w:pPr>
              <w:rPr>
                <w:b/>
                <w:sz w:val="22"/>
                <w:szCs w:val="22"/>
              </w:rPr>
            </w:pPr>
            <w:r w:rsidRPr="002101EA">
              <w:rPr>
                <w:b/>
                <w:sz w:val="22"/>
                <w:szCs w:val="22"/>
              </w:rPr>
              <w:t xml:space="preserve">Was a significant level of negative impact arising from the project, policy or strategy </w:t>
            </w:r>
            <w:r w:rsidR="00B04CFA" w:rsidRPr="002101EA">
              <w:rPr>
                <w:b/>
                <w:sz w:val="22"/>
                <w:szCs w:val="22"/>
              </w:rPr>
              <w:t xml:space="preserve"> </w:t>
            </w:r>
            <w:r w:rsidRPr="002101EA">
              <w:rPr>
                <w:b/>
                <w:sz w:val="22"/>
                <w:szCs w:val="22"/>
              </w:rPr>
              <w:t>identified?</w:t>
            </w:r>
          </w:p>
          <w:p w:rsidR="00460F93" w:rsidRPr="002101EA" w:rsidRDefault="00460F93" w:rsidP="005427A5">
            <w:pPr>
              <w:rPr>
                <w:b/>
                <w:sz w:val="22"/>
                <w:szCs w:val="22"/>
              </w:rPr>
            </w:pPr>
          </w:p>
        </w:tc>
        <w:tc>
          <w:tcPr>
            <w:tcW w:w="2693" w:type="dxa"/>
          </w:tcPr>
          <w:p w:rsidR="00460F93" w:rsidRPr="002101EA" w:rsidRDefault="0011038C" w:rsidP="005427A5">
            <w:pPr>
              <w:rPr>
                <w:sz w:val="22"/>
                <w:szCs w:val="22"/>
              </w:rPr>
            </w:pPr>
            <w:r>
              <w:rPr>
                <w:sz w:val="22"/>
                <w:szCs w:val="22"/>
              </w:rPr>
              <w:t>No</w:t>
            </w:r>
            <w:r w:rsidR="0089676B">
              <w:rPr>
                <w:sz w:val="22"/>
                <w:szCs w:val="22"/>
              </w:rPr>
              <w:t>t at this stage</w:t>
            </w:r>
          </w:p>
        </w:tc>
      </w:tr>
      <w:tr w:rsidR="00460F93" w:rsidTr="00CE4FCB">
        <w:tblPrEx>
          <w:tblCellMar>
            <w:top w:w="0" w:type="dxa"/>
            <w:bottom w:w="0" w:type="dxa"/>
          </w:tblCellMar>
        </w:tblPrEx>
        <w:tc>
          <w:tcPr>
            <w:tcW w:w="11357" w:type="dxa"/>
            <w:tcBorders>
              <w:bottom w:val="single" w:sz="4" w:space="0" w:color="auto"/>
            </w:tcBorders>
            <w:shd w:val="clear" w:color="auto" w:fill="CCFFFF"/>
          </w:tcPr>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101EA" w:rsidRDefault="00460F93" w:rsidP="005427A5">
            <w:pPr>
              <w:rPr>
                <w:b/>
                <w:sz w:val="22"/>
                <w:szCs w:val="22"/>
              </w:rPr>
            </w:pPr>
          </w:p>
        </w:tc>
        <w:tc>
          <w:tcPr>
            <w:tcW w:w="2693" w:type="dxa"/>
            <w:tcBorders>
              <w:bottom w:val="single" w:sz="4" w:space="0" w:color="auto"/>
            </w:tcBorders>
          </w:tcPr>
          <w:p w:rsidR="00460F93" w:rsidRPr="002101EA" w:rsidRDefault="0011038C" w:rsidP="005427A5">
            <w:pPr>
              <w:rPr>
                <w:sz w:val="22"/>
                <w:szCs w:val="22"/>
              </w:rPr>
            </w:pPr>
            <w:r>
              <w:rPr>
                <w:sz w:val="22"/>
                <w:szCs w:val="22"/>
              </w:rPr>
              <w:t>No</w:t>
            </w:r>
            <w:r w:rsidR="0089676B">
              <w:rPr>
                <w:sz w:val="22"/>
                <w:szCs w:val="22"/>
              </w:rPr>
              <w:t>t at this stage</w:t>
            </w:r>
          </w:p>
        </w:tc>
      </w:tr>
      <w:tr w:rsidR="00460F93" w:rsidTr="00CE4FCB">
        <w:tblPrEx>
          <w:tblCellMar>
            <w:top w:w="0" w:type="dxa"/>
            <w:bottom w:w="0" w:type="dxa"/>
          </w:tblCellMar>
        </w:tblPrEx>
        <w:tc>
          <w:tcPr>
            <w:tcW w:w="11357" w:type="dxa"/>
            <w:tcBorders>
              <w:bottom w:val="single" w:sz="4" w:space="0" w:color="auto"/>
            </w:tcBorders>
            <w:shd w:val="clear" w:color="auto" w:fill="CCFFFF"/>
          </w:tcPr>
          <w:p w:rsidR="00460F93" w:rsidRPr="002101EA" w:rsidRDefault="00460F93" w:rsidP="005427A5">
            <w:pPr>
              <w:rPr>
                <w:b/>
                <w:sz w:val="22"/>
                <w:szCs w:val="22"/>
              </w:rPr>
            </w:pPr>
            <w:r w:rsidRPr="002101EA">
              <w:rPr>
                <w:b/>
                <w:sz w:val="22"/>
                <w:szCs w:val="22"/>
              </w:rPr>
              <w:t>Does a Full Impact Assessment need to be undertaken?</w:t>
            </w:r>
          </w:p>
          <w:p w:rsidR="00460F93" w:rsidRPr="002101EA" w:rsidRDefault="00460F93" w:rsidP="005427A5">
            <w:pPr>
              <w:rPr>
                <w:b/>
                <w:sz w:val="22"/>
                <w:szCs w:val="22"/>
              </w:rPr>
            </w:pPr>
          </w:p>
        </w:tc>
        <w:tc>
          <w:tcPr>
            <w:tcW w:w="2693" w:type="dxa"/>
            <w:tcBorders>
              <w:bottom w:val="single" w:sz="4" w:space="0" w:color="auto"/>
            </w:tcBorders>
          </w:tcPr>
          <w:p w:rsidR="00460F93" w:rsidRPr="002101EA" w:rsidRDefault="0011038C" w:rsidP="005427A5">
            <w:pPr>
              <w:rPr>
                <w:sz w:val="22"/>
                <w:szCs w:val="22"/>
              </w:rPr>
            </w:pPr>
            <w:r>
              <w:rPr>
                <w:sz w:val="22"/>
                <w:szCs w:val="22"/>
              </w:rPr>
              <w:t>No</w:t>
            </w:r>
            <w:r w:rsidR="0089676B">
              <w:rPr>
                <w:sz w:val="22"/>
                <w:szCs w:val="22"/>
              </w:rPr>
              <w:t>t at this stage</w:t>
            </w:r>
          </w:p>
        </w:tc>
      </w:tr>
    </w:tbl>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ED47F5" w:rsidTr="005427A5">
        <w:tblPrEx>
          <w:tblCellMar>
            <w:top w:w="0" w:type="dxa"/>
            <w:bottom w:w="0" w:type="dxa"/>
          </w:tblCellMar>
        </w:tblPrEx>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Default="00460F93" w:rsidP="005427A5">
            <w:pPr>
              <w:rPr>
                <w:b/>
                <w:sz w:val="2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460F93" w:rsidRDefault="00460F93" w:rsidP="00460F93">
            <w:pPr>
              <w:ind w:firstLine="360"/>
              <w:rPr>
                <w:sz w:val="18"/>
                <w:szCs w:val="18"/>
              </w:rPr>
            </w:pPr>
          </w:p>
        </w:tc>
      </w:tr>
      <w:tr w:rsidR="00460F93" w:rsidTr="005427A5">
        <w:tblPrEx>
          <w:tblCellMar>
            <w:top w:w="0" w:type="dxa"/>
            <w:bottom w:w="0" w:type="dxa"/>
          </w:tblCellMar>
        </w:tblPrEx>
        <w:tc>
          <w:tcPr>
            <w:tcW w:w="2977"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3277"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7938"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CE4FCB">
        <w:tblPrEx>
          <w:tblCellMar>
            <w:top w:w="0" w:type="dxa"/>
            <w:bottom w:w="0" w:type="dxa"/>
          </w:tblCellMar>
        </w:tblPrEx>
        <w:trPr>
          <w:trHeight w:val="884"/>
        </w:trPr>
        <w:tc>
          <w:tcPr>
            <w:tcW w:w="2977" w:type="dxa"/>
            <w:shd w:val="clear" w:color="auto" w:fill="auto"/>
          </w:tcPr>
          <w:p w:rsidR="00460F93" w:rsidRDefault="00460F93" w:rsidP="0021793B">
            <w:pPr>
              <w:rPr>
                <w:sz w:val="22"/>
              </w:rPr>
            </w:pPr>
          </w:p>
          <w:p w:rsidR="00DB4A5A" w:rsidRDefault="00F8272F" w:rsidP="0021793B">
            <w:pPr>
              <w:rPr>
                <w:sz w:val="22"/>
              </w:rPr>
            </w:pPr>
            <w:r>
              <w:rPr>
                <w:sz w:val="22"/>
              </w:rPr>
              <w:t>The process will be reviewed at the end of the current Administration.</w:t>
            </w:r>
          </w:p>
          <w:p w:rsidR="00F8272F" w:rsidRDefault="00F8272F" w:rsidP="0021793B">
            <w:pPr>
              <w:rPr>
                <w:sz w:val="22"/>
              </w:rPr>
            </w:pPr>
          </w:p>
          <w:p w:rsidR="00DB4A5A" w:rsidRDefault="00DB4A5A" w:rsidP="00F963B7">
            <w:pPr>
              <w:rPr>
                <w:sz w:val="22"/>
              </w:rPr>
            </w:pPr>
          </w:p>
        </w:tc>
        <w:tc>
          <w:tcPr>
            <w:tcW w:w="3277" w:type="dxa"/>
            <w:shd w:val="clear" w:color="auto" w:fill="auto"/>
          </w:tcPr>
          <w:p w:rsidR="00D41425" w:rsidRDefault="00D41425" w:rsidP="00797EAC">
            <w:pPr>
              <w:rPr>
                <w:sz w:val="22"/>
              </w:rPr>
            </w:pPr>
          </w:p>
          <w:p w:rsidR="00FD1A36" w:rsidRPr="00D41425" w:rsidRDefault="00D41425" w:rsidP="00F92D16">
            <w:pPr>
              <w:rPr>
                <w:color w:val="FF0000"/>
                <w:sz w:val="22"/>
              </w:rPr>
            </w:pPr>
            <w:r w:rsidRPr="0033493D">
              <w:rPr>
                <w:color w:val="000000"/>
                <w:sz w:val="22"/>
              </w:rPr>
              <w:t>Committee Services</w:t>
            </w:r>
            <w:r w:rsidR="00F92D16" w:rsidRPr="0033493D">
              <w:rPr>
                <w:color w:val="000000"/>
                <w:sz w:val="22"/>
              </w:rPr>
              <w:t>/Legal Services</w:t>
            </w:r>
          </w:p>
        </w:tc>
        <w:tc>
          <w:tcPr>
            <w:tcW w:w="7938" w:type="dxa"/>
            <w:shd w:val="clear" w:color="auto" w:fill="auto"/>
          </w:tcPr>
          <w:p w:rsidR="00D41425" w:rsidRDefault="00D41425" w:rsidP="00D41425">
            <w:pPr>
              <w:rPr>
                <w:sz w:val="22"/>
              </w:rPr>
            </w:pPr>
          </w:p>
          <w:p w:rsidR="00D41425" w:rsidRPr="0033493D" w:rsidRDefault="00D41425" w:rsidP="00D41425">
            <w:pPr>
              <w:rPr>
                <w:color w:val="000000"/>
                <w:sz w:val="22"/>
              </w:rPr>
            </w:pPr>
            <w:r w:rsidRPr="0033493D">
              <w:rPr>
                <w:color w:val="000000"/>
                <w:sz w:val="22"/>
              </w:rPr>
              <w:t>In the interim, the process will be reviewed on a rolling basis as there are different appellants each year and access issues will be reflected in any updates.</w:t>
            </w:r>
            <w:r w:rsidR="00F766CD">
              <w:rPr>
                <w:color w:val="000000"/>
                <w:sz w:val="22"/>
              </w:rPr>
              <w:t xml:space="preserve">  Lessons will be learned from the new process of video conferencing and any benefits can be used and improved for the future where appropriate. </w:t>
            </w:r>
          </w:p>
          <w:p w:rsidR="00460F93" w:rsidRDefault="00460F93" w:rsidP="0021793B">
            <w:pPr>
              <w:rPr>
                <w:sz w:val="22"/>
              </w:rPr>
            </w:pPr>
          </w:p>
        </w:tc>
      </w:tr>
    </w:tbl>
    <w:p w:rsidR="00FE21D3" w:rsidRDefault="00FE21D3" w:rsidP="00FE21D3">
      <w:pPr>
        <w:ind w:firstLine="426"/>
        <w:rPr>
          <w:sz w:val="22"/>
        </w:rPr>
      </w:pPr>
    </w:p>
    <w:p w:rsidR="00CE4FCB" w:rsidRDefault="00CE4FCB"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15"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16" w:history="1">
        <w:r w:rsidRPr="00CE4FCB">
          <w:rPr>
            <w:rStyle w:val="Hyperlink"/>
            <w:sz w:val="22"/>
          </w:rPr>
          <w:t>EQIA Guidance</w:t>
        </w:r>
      </w:hyperlink>
      <w:r>
        <w:rPr>
          <w:sz w:val="22"/>
        </w:rPr>
        <w:t>: Pgs. 11-12)</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1909" w:rsidRDefault="00CE1909" w:rsidP="005272A9">
      <w:pPr>
        <w:pStyle w:val="Heading1"/>
        <w:numPr>
          <w:ilvl w:val="0"/>
          <w:numId w:val="8"/>
        </w:numPr>
      </w:pPr>
      <w:r>
        <w:lastRenderedPageBreak/>
        <w:t>M</w:t>
      </w:r>
      <w:r w:rsidR="00716EFA">
        <w:t>ONITORING</w:t>
      </w:r>
      <w:r>
        <w:t xml:space="preserve"> OUTCOMES</w:t>
      </w:r>
      <w:r w:rsidR="00697CBC">
        <w:t xml:space="preserve">, EVALUATION </w:t>
      </w:r>
      <w:r w:rsidR="005B5549">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17"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18"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19"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11F" w:rsidRDefault="00CC011F">
      <w:r>
        <w:separator/>
      </w:r>
    </w:p>
  </w:endnote>
  <w:endnote w:type="continuationSeparator" w:id="0">
    <w:p w:rsidR="00CC011F" w:rsidRDefault="00CC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11F" w:rsidRDefault="00CC011F">
      <w:r>
        <w:separator/>
      </w:r>
    </w:p>
  </w:footnote>
  <w:footnote w:type="continuationSeparator" w:id="0">
    <w:p w:rsidR="00CC011F" w:rsidRDefault="00CC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AC" w:rsidRDefault="00797EAC" w:rsidP="00F963B7">
    <w:pPr>
      <w:pStyle w:val="Header"/>
      <w:tabs>
        <w:tab w:val="left" w:pos="825"/>
        <w:tab w:val="right" w:pos="14547"/>
      </w:tabs>
      <w:jc w:val="right"/>
      <w:rPr>
        <w:b/>
      </w:rPr>
    </w:pPr>
    <w:r>
      <w:rPr>
        <w:b/>
        <w:noProof/>
      </w:rPr>
      <w:t>EQIA Screening Form</w:t>
    </w:r>
  </w:p>
  <w:p w:rsidR="00797EAC" w:rsidRPr="00F963B7" w:rsidRDefault="00797EAC" w:rsidP="00CE2D80">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2"/>
  </w:num>
  <w:num w:numId="2">
    <w:abstractNumId w:val="16"/>
  </w:num>
  <w:num w:numId="3">
    <w:abstractNumId w:val="8"/>
  </w:num>
  <w:num w:numId="4">
    <w:abstractNumId w:val="18"/>
  </w:num>
  <w:num w:numId="5">
    <w:abstractNumId w:val="5"/>
  </w:num>
  <w:num w:numId="6">
    <w:abstractNumId w:val="14"/>
  </w:num>
  <w:num w:numId="7">
    <w:abstractNumId w:val="6"/>
  </w:num>
  <w:num w:numId="8">
    <w:abstractNumId w:val="13"/>
  </w:num>
  <w:num w:numId="9">
    <w:abstractNumId w:val="7"/>
  </w:num>
  <w:num w:numId="10">
    <w:abstractNumId w:val="1"/>
  </w:num>
  <w:num w:numId="11">
    <w:abstractNumId w:val="2"/>
  </w:num>
  <w:num w:numId="12">
    <w:abstractNumId w:val="3"/>
  </w:num>
  <w:num w:numId="13">
    <w:abstractNumId w:val="19"/>
  </w:num>
  <w:num w:numId="14">
    <w:abstractNumId w:val="21"/>
  </w:num>
  <w:num w:numId="15">
    <w:abstractNumId w:val="11"/>
  </w:num>
  <w:num w:numId="16">
    <w:abstractNumId w:val="10"/>
  </w:num>
  <w:num w:numId="17">
    <w:abstractNumId w:val="17"/>
  </w:num>
  <w:num w:numId="18">
    <w:abstractNumId w:val="4"/>
  </w:num>
  <w:num w:numId="19">
    <w:abstractNumId w:val="9"/>
  </w:num>
  <w:num w:numId="20">
    <w:abstractNumId w:val="15"/>
  </w:num>
  <w:num w:numId="21">
    <w:abstractNumId w:val="20"/>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237A0"/>
    <w:rsid w:val="000400C2"/>
    <w:rsid w:val="00042550"/>
    <w:rsid w:val="00052239"/>
    <w:rsid w:val="00053F44"/>
    <w:rsid w:val="00063F60"/>
    <w:rsid w:val="000706CA"/>
    <w:rsid w:val="00073CFF"/>
    <w:rsid w:val="00077E39"/>
    <w:rsid w:val="00085E32"/>
    <w:rsid w:val="0008624C"/>
    <w:rsid w:val="0008714A"/>
    <w:rsid w:val="00087C6A"/>
    <w:rsid w:val="0009480A"/>
    <w:rsid w:val="000B6735"/>
    <w:rsid w:val="000E4CA3"/>
    <w:rsid w:val="000F0870"/>
    <w:rsid w:val="000F0C7E"/>
    <w:rsid w:val="000F2F93"/>
    <w:rsid w:val="000F54DC"/>
    <w:rsid w:val="00104987"/>
    <w:rsid w:val="0011038C"/>
    <w:rsid w:val="00114156"/>
    <w:rsid w:val="00124879"/>
    <w:rsid w:val="0013070E"/>
    <w:rsid w:val="0013508F"/>
    <w:rsid w:val="0015074D"/>
    <w:rsid w:val="00157C38"/>
    <w:rsid w:val="00163A6F"/>
    <w:rsid w:val="00164CBF"/>
    <w:rsid w:val="0016790C"/>
    <w:rsid w:val="00176181"/>
    <w:rsid w:val="00177E1F"/>
    <w:rsid w:val="001816F7"/>
    <w:rsid w:val="00183998"/>
    <w:rsid w:val="001B171C"/>
    <w:rsid w:val="001C5F12"/>
    <w:rsid w:val="001C7E75"/>
    <w:rsid w:val="001D4004"/>
    <w:rsid w:val="001D5033"/>
    <w:rsid w:val="002101EA"/>
    <w:rsid w:val="0021793B"/>
    <w:rsid w:val="002209C3"/>
    <w:rsid w:val="00225422"/>
    <w:rsid w:val="00246BB5"/>
    <w:rsid w:val="00250147"/>
    <w:rsid w:val="002514EC"/>
    <w:rsid w:val="00273AF0"/>
    <w:rsid w:val="00275D4A"/>
    <w:rsid w:val="0029498D"/>
    <w:rsid w:val="00295823"/>
    <w:rsid w:val="0029690B"/>
    <w:rsid w:val="002A0098"/>
    <w:rsid w:val="002A4E78"/>
    <w:rsid w:val="002A5543"/>
    <w:rsid w:val="002B31B4"/>
    <w:rsid w:val="002B66F4"/>
    <w:rsid w:val="002C0B4C"/>
    <w:rsid w:val="002D10C9"/>
    <w:rsid w:val="002F241A"/>
    <w:rsid w:val="002F5048"/>
    <w:rsid w:val="00325E1D"/>
    <w:rsid w:val="0033493D"/>
    <w:rsid w:val="003358CC"/>
    <w:rsid w:val="00340934"/>
    <w:rsid w:val="003426B7"/>
    <w:rsid w:val="00345766"/>
    <w:rsid w:val="00346502"/>
    <w:rsid w:val="00352B4A"/>
    <w:rsid w:val="0036175C"/>
    <w:rsid w:val="00362564"/>
    <w:rsid w:val="00366C2C"/>
    <w:rsid w:val="0037185D"/>
    <w:rsid w:val="00373FA7"/>
    <w:rsid w:val="00374DBE"/>
    <w:rsid w:val="00381A23"/>
    <w:rsid w:val="0038355C"/>
    <w:rsid w:val="00391371"/>
    <w:rsid w:val="003B6B67"/>
    <w:rsid w:val="003B7FAA"/>
    <w:rsid w:val="003C5904"/>
    <w:rsid w:val="003C6388"/>
    <w:rsid w:val="003D1827"/>
    <w:rsid w:val="003E6EE9"/>
    <w:rsid w:val="003F0FC9"/>
    <w:rsid w:val="003F1DCB"/>
    <w:rsid w:val="00400A19"/>
    <w:rsid w:val="00405005"/>
    <w:rsid w:val="00412050"/>
    <w:rsid w:val="004309F5"/>
    <w:rsid w:val="00434203"/>
    <w:rsid w:val="00460F93"/>
    <w:rsid w:val="004627A9"/>
    <w:rsid w:val="00463879"/>
    <w:rsid w:val="00471B2B"/>
    <w:rsid w:val="00473766"/>
    <w:rsid w:val="00477D19"/>
    <w:rsid w:val="004864FA"/>
    <w:rsid w:val="00495082"/>
    <w:rsid w:val="00496CF3"/>
    <w:rsid w:val="004A5DD7"/>
    <w:rsid w:val="004B614C"/>
    <w:rsid w:val="004C043C"/>
    <w:rsid w:val="004C2554"/>
    <w:rsid w:val="004C4067"/>
    <w:rsid w:val="004C6B7A"/>
    <w:rsid w:val="004D37AB"/>
    <w:rsid w:val="00505CF9"/>
    <w:rsid w:val="005133DD"/>
    <w:rsid w:val="00515712"/>
    <w:rsid w:val="00517085"/>
    <w:rsid w:val="0052689E"/>
    <w:rsid w:val="00527188"/>
    <w:rsid w:val="005272A9"/>
    <w:rsid w:val="00527358"/>
    <w:rsid w:val="00530518"/>
    <w:rsid w:val="00532567"/>
    <w:rsid w:val="005427A5"/>
    <w:rsid w:val="0054365E"/>
    <w:rsid w:val="005510D1"/>
    <w:rsid w:val="00572578"/>
    <w:rsid w:val="00572612"/>
    <w:rsid w:val="0057452E"/>
    <w:rsid w:val="00575DB7"/>
    <w:rsid w:val="0057787F"/>
    <w:rsid w:val="00581ED9"/>
    <w:rsid w:val="00591E22"/>
    <w:rsid w:val="00592EBA"/>
    <w:rsid w:val="00595C1B"/>
    <w:rsid w:val="005A16AE"/>
    <w:rsid w:val="005B4936"/>
    <w:rsid w:val="005B4DBA"/>
    <w:rsid w:val="005B5549"/>
    <w:rsid w:val="005D1F19"/>
    <w:rsid w:val="005E5A56"/>
    <w:rsid w:val="005F3BDB"/>
    <w:rsid w:val="00603CCF"/>
    <w:rsid w:val="00605421"/>
    <w:rsid w:val="00612995"/>
    <w:rsid w:val="00613521"/>
    <w:rsid w:val="006143BD"/>
    <w:rsid w:val="00614A88"/>
    <w:rsid w:val="00622D3D"/>
    <w:rsid w:val="0062562D"/>
    <w:rsid w:val="00633695"/>
    <w:rsid w:val="006408DF"/>
    <w:rsid w:val="006512DD"/>
    <w:rsid w:val="00651D53"/>
    <w:rsid w:val="00661081"/>
    <w:rsid w:val="00662EB4"/>
    <w:rsid w:val="00665243"/>
    <w:rsid w:val="006714F6"/>
    <w:rsid w:val="00674DF3"/>
    <w:rsid w:val="00681070"/>
    <w:rsid w:val="00684D85"/>
    <w:rsid w:val="00697CBC"/>
    <w:rsid w:val="006A6F61"/>
    <w:rsid w:val="006B4042"/>
    <w:rsid w:val="006C3F43"/>
    <w:rsid w:val="006C4B8F"/>
    <w:rsid w:val="006D0C24"/>
    <w:rsid w:val="006D3284"/>
    <w:rsid w:val="006D6727"/>
    <w:rsid w:val="006F1180"/>
    <w:rsid w:val="006F340C"/>
    <w:rsid w:val="0070001C"/>
    <w:rsid w:val="0070176D"/>
    <w:rsid w:val="00702265"/>
    <w:rsid w:val="007073B2"/>
    <w:rsid w:val="00711922"/>
    <w:rsid w:val="00716EFA"/>
    <w:rsid w:val="00724573"/>
    <w:rsid w:val="00726CB5"/>
    <w:rsid w:val="00731DA5"/>
    <w:rsid w:val="0073629D"/>
    <w:rsid w:val="00737DEA"/>
    <w:rsid w:val="00742669"/>
    <w:rsid w:val="007467A0"/>
    <w:rsid w:val="00763FD0"/>
    <w:rsid w:val="00765A32"/>
    <w:rsid w:val="007672DC"/>
    <w:rsid w:val="007674AE"/>
    <w:rsid w:val="00772287"/>
    <w:rsid w:val="0078155B"/>
    <w:rsid w:val="00781A47"/>
    <w:rsid w:val="00781F6A"/>
    <w:rsid w:val="00797CEA"/>
    <w:rsid w:val="00797EAC"/>
    <w:rsid w:val="007D5295"/>
    <w:rsid w:val="007D6111"/>
    <w:rsid w:val="007F1170"/>
    <w:rsid w:val="00800439"/>
    <w:rsid w:val="00805216"/>
    <w:rsid w:val="00812CE8"/>
    <w:rsid w:val="008170D5"/>
    <w:rsid w:val="00821CD7"/>
    <w:rsid w:val="00825102"/>
    <w:rsid w:val="00827005"/>
    <w:rsid w:val="008332BF"/>
    <w:rsid w:val="008412C8"/>
    <w:rsid w:val="00867152"/>
    <w:rsid w:val="00874EAF"/>
    <w:rsid w:val="00876C72"/>
    <w:rsid w:val="008832A9"/>
    <w:rsid w:val="0088357C"/>
    <w:rsid w:val="00885D91"/>
    <w:rsid w:val="00890BE9"/>
    <w:rsid w:val="0089298E"/>
    <w:rsid w:val="00894F47"/>
    <w:rsid w:val="0089518D"/>
    <w:rsid w:val="00895318"/>
    <w:rsid w:val="0089676B"/>
    <w:rsid w:val="008A731C"/>
    <w:rsid w:val="008B7D19"/>
    <w:rsid w:val="008C2BCD"/>
    <w:rsid w:val="008E753F"/>
    <w:rsid w:val="008F29C4"/>
    <w:rsid w:val="00910398"/>
    <w:rsid w:val="00910641"/>
    <w:rsid w:val="00926AD4"/>
    <w:rsid w:val="00927671"/>
    <w:rsid w:val="00927742"/>
    <w:rsid w:val="00935838"/>
    <w:rsid w:val="009410B0"/>
    <w:rsid w:val="0095039B"/>
    <w:rsid w:val="0095563E"/>
    <w:rsid w:val="00961760"/>
    <w:rsid w:val="00971736"/>
    <w:rsid w:val="00972E56"/>
    <w:rsid w:val="00977EAB"/>
    <w:rsid w:val="00981B6F"/>
    <w:rsid w:val="00996D71"/>
    <w:rsid w:val="009A1905"/>
    <w:rsid w:val="009A41FC"/>
    <w:rsid w:val="009B7CF5"/>
    <w:rsid w:val="009C4418"/>
    <w:rsid w:val="009E2B43"/>
    <w:rsid w:val="009E3383"/>
    <w:rsid w:val="009E6CD9"/>
    <w:rsid w:val="009F3992"/>
    <w:rsid w:val="009F73B4"/>
    <w:rsid w:val="009F7E8E"/>
    <w:rsid w:val="00A007F2"/>
    <w:rsid w:val="00A13ABE"/>
    <w:rsid w:val="00A205AB"/>
    <w:rsid w:val="00A229B4"/>
    <w:rsid w:val="00A31340"/>
    <w:rsid w:val="00A37D1D"/>
    <w:rsid w:val="00A403D7"/>
    <w:rsid w:val="00A56096"/>
    <w:rsid w:val="00A67987"/>
    <w:rsid w:val="00A67C25"/>
    <w:rsid w:val="00A70B46"/>
    <w:rsid w:val="00A86BA8"/>
    <w:rsid w:val="00AB0BF9"/>
    <w:rsid w:val="00AB4402"/>
    <w:rsid w:val="00AB7CA7"/>
    <w:rsid w:val="00AD0BF5"/>
    <w:rsid w:val="00AE00A9"/>
    <w:rsid w:val="00AE31B6"/>
    <w:rsid w:val="00AE3AAF"/>
    <w:rsid w:val="00AE6477"/>
    <w:rsid w:val="00AE6831"/>
    <w:rsid w:val="00AF3C5C"/>
    <w:rsid w:val="00B021C3"/>
    <w:rsid w:val="00B04CFA"/>
    <w:rsid w:val="00B07F00"/>
    <w:rsid w:val="00B155CD"/>
    <w:rsid w:val="00B203B1"/>
    <w:rsid w:val="00B2196A"/>
    <w:rsid w:val="00B25BF3"/>
    <w:rsid w:val="00B30107"/>
    <w:rsid w:val="00B37596"/>
    <w:rsid w:val="00B45129"/>
    <w:rsid w:val="00B52761"/>
    <w:rsid w:val="00B55E10"/>
    <w:rsid w:val="00B670FD"/>
    <w:rsid w:val="00B70128"/>
    <w:rsid w:val="00B80CC7"/>
    <w:rsid w:val="00BA2C9A"/>
    <w:rsid w:val="00BA61E4"/>
    <w:rsid w:val="00BB3136"/>
    <w:rsid w:val="00BC1931"/>
    <w:rsid w:val="00BC52EF"/>
    <w:rsid w:val="00BE4FF2"/>
    <w:rsid w:val="00BE5FDB"/>
    <w:rsid w:val="00BE6333"/>
    <w:rsid w:val="00BF402D"/>
    <w:rsid w:val="00BF5F46"/>
    <w:rsid w:val="00C1663B"/>
    <w:rsid w:val="00C17814"/>
    <w:rsid w:val="00C2635A"/>
    <w:rsid w:val="00C323CB"/>
    <w:rsid w:val="00C35684"/>
    <w:rsid w:val="00C43424"/>
    <w:rsid w:val="00C4573C"/>
    <w:rsid w:val="00C5294C"/>
    <w:rsid w:val="00C62B09"/>
    <w:rsid w:val="00C7276E"/>
    <w:rsid w:val="00C72819"/>
    <w:rsid w:val="00C82650"/>
    <w:rsid w:val="00C82D21"/>
    <w:rsid w:val="00C87613"/>
    <w:rsid w:val="00C91676"/>
    <w:rsid w:val="00C9413F"/>
    <w:rsid w:val="00CA032A"/>
    <w:rsid w:val="00CA2835"/>
    <w:rsid w:val="00CB456B"/>
    <w:rsid w:val="00CC011F"/>
    <w:rsid w:val="00CC2818"/>
    <w:rsid w:val="00CC2D1C"/>
    <w:rsid w:val="00CC555C"/>
    <w:rsid w:val="00CD4B48"/>
    <w:rsid w:val="00CD4FA1"/>
    <w:rsid w:val="00CD7794"/>
    <w:rsid w:val="00CE00A0"/>
    <w:rsid w:val="00CE1909"/>
    <w:rsid w:val="00CE1ACE"/>
    <w:rsid w:val="00CE1EF6"/>
    <w:rsid w:val="00CE2D80"/>
    <w:rsid w:val="00CE4FCB"/>
    <w:rsid w:val="00CF2192"/>
    <w:rsid w:val="00CF2D5B"/>
    <w:rsid w:val="00CF6BB3"/>
    <w:rsid w:val="00CF7FFD"/>
    <w:rsid w:val="00D12FA3"/>
    <w:rsid w:val="00D2297E"/>
    <w:rsid w:val="00D31128"/>
    <w:rsid w:val="00D376F2"/>
    <w:rsid w:val="00D41425"/>
    <w:rsid w:val="00D41C56"/>
    <w:rsid w:val="00D468E8"/>
    <w:rsid w:val="00D5505F"/>
    <w:rsid w:val="00D55226"/>
    <w:rsid w:val="00D62E1A"/>
    <w:rsid w:val="00D70CD6"/>
    <w:rsid w:val="00D71B6A"/>
    <w:rsid w:val="00D82AF9"/>
    <w:rsid w:val="00D93365"/>
    <w:rsid w:val="00DA627A"/>
    <w:rsid w:val="00DA6471"/>
    <w:rsid w:val="00DB2FDE"/>
    <w:rsid w:val="00DB4A5A"/>
    <w:rsid w:val="00DC3B3E"/>
    <w:rsid w:val="00DC7A9E"/>
    <w:rsid w:val="00DD1AAA"/>
    <w:rsid w:val="00DE1DDE"/>
    <w:rsid w:val="00DE294B"/>
    <w:rsid w:val="00DF0ACF"/>
    <w:rsid w:val="00DF7698"/>
    <w:rsid w:val="00E06B40"/>
    <w:rsid w:val="00E06CD9"/>
    <w:rsid w:val="00E26C53"/>
    <w:rsid w:val="00E33168"/>
    <w:rsid w:val="00E34DED"/>
    <w:rsid w:val="00E43F9B"/>
    <w:rsid w:val="00E44CC8"/>
    <w:rsid w:val="00E9111E"/>
    <w:rsid w:val="00E963E1"/>
    <w:rsid w:val="00EA0B34"/>
    <w:rsid w:val="00EB21CD"/>
    <w:rsid w:val="00EB23B8"/>
    <w:rsid w:val="00EC313F"/>
    <w:rsid w:val="00ED47F5"/>
    <w:rsid w:val="00ED6D23"/>
    <w:rsid w:val="00EE140D"/>
    <w:rsid w:val="00EE54AD"/>
    <w:rsid w:val="00EE6A60"/>
    <w:rsid w:val="00EF4BA4"/>
    <w:rsid w:val="00EF57FB"/>
    <w:rsid w:val="00F16273"/>
    <w:rsid w:val="00F34CE3"/>
    <w:rsid w:val="00F357F5"/>
    <w:rsid w:val="00F63FB9"/>
    <w:rsid w:val="00F64FF7"/>
    <w:rsid w:val="00F6565A"/>
    <w:rsid w:val="00F766CD"/>
    <w:rsid w:val="00F814E6"/>
    <w:rsid w:val="00F8272F"/>
    <w:rsid w:val="00F92D16"/>
    <w:rsid w:val="00F95262"/>
    <w:rsid w:val="00F963B7"/>
    <w:rsid w:val="00FA55B2"/>
    <w:rsid w:val="00FB37DE"/>
    <w:rsid w:val="00FB51E6"/>
    <w:rsid w:val="00FB652D"/>
    <w:rsid w:val="00FC051D"/>
    <w:rsid w:val="00FC2964"/>
    <w:rsid w:val="00FD1A36"/>
    <w:rsid w:val="00FD7A0C"/>
    <w:rsid w:val="00FE1ACF"/>
    <w:rsid w:val="00FE21D3"/>
    <w:rsid w:val="00FF1171"/>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21DA87"/>
  <w15:chartTrackingRefBased/>
  <w15:docId w15:val="{1BA1C8DB-E68E-48F2-BDB1-0161D5C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paragraph" w:styleId="Revision">
    <w:name w:val="Revision"/>
    <w:hidden/>
    <w:uiPriority w:val="99"/>
    <w:semiHidden/>
    <w:rsid w:val="009E33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8"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definition-of-disability-under-equality-act-2010" TargetMode="External"/><Relationship Id="rId17" Type="http://schemas.openxmlformats.org/officeDocument/2006/relationships/hyperlink" Target="https://www.gov.uk/equality-act-2010-guidance" TargetMode="External"/><Relationship Id="rId2" Type="http://schemas.openxmlformats.org/officeDocument/2006/relationships/customXml" Target="../customXml/item2.xml"/><Relationship Id="rId16" Type="http://schemas.openxmlformats.org/officeDocument/2006/relationships/hyperlink" Target="https://www.glasgow.gov.uk/index.aspx?articleid=175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5" Type="http://schemas.openxmlformats.org/officeDocument/2006/relationships/settings" Target="settings.xml"/><Relationship Id="rId15" Type="http://schemas.openxmlformats.org/officeDocument/2006/relationships/hyperlink" Target="https://www.glasgow.gov.uk/index.aspx?articleid=17533" TargetMode="External"/><Relationship Id="rId10" Type="http://schemas.openxmlformats.org/officeDocument/2006/relationships/hyperlink" Target="https://www.glasgow.gov.uk/councillorsandcommittees/submissiondocuments.asp?submissionid=83692" TargetMode="External"/><Relationship Id="rId19"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3156-165C-44AE-BE8A-A4FAAAA4EED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177B5E-D869-429B-B07D-A7A106CD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2098</Words>
  <Characters>13675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15742</CharactersWithSpaces>
  <SharedDoc>false</SharedDoc>
  <HLinks>
    <vt:vector size="60" baseType="variant">
      <vt:variant>
        <vt:i4>655365</vt:i4>
      </vt:variant>
      <vt:variant>
        <vt:i4>27</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24</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21</vt:i4>
      </vt:variant>
      <vt:variant>
        <vt:i4>0</vt:i4>
      </vt:variant>
      <vt:variant>
        <vt:i4>5</vt:i4>
      </vt:variant>
      <vt:variant>
        <vt:lpwstr>https://www.gov.uk/equality-act-2010-guidance</vt:lpwstr>
      </vt:variant>
      <vt:variant>
        <vt:lpwstr/>
      </vt:variant>
      <vt:variant>
        <vt:i4>4194368</vt:i4>
      </vt:variant>
      <vt:variant>
        <vt:i4>18</vt:i4>
      </vt:variant>
      <vt:variant>
        <vt:i4>0</vt:i4>
      </vt:variant>
      <vt:variant>
        <vt:i4>5</vt:i4>
      </vt:variant>
      <vt:variant>
        <vt:lpwstr>https://www.glasgow.gov.uk/index.aspx?articleid=17533</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6422632</vt:i4>
      </vt:variant>
      <vt:variant>
        <vt:i4>12</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6</vt:i4>
      </vt:variant>
      <vt:variant>
        <vt:i4>0</vt:i4>
      </vt:variant>
      <vt:variant>
        <vt:i4>5</vt:i4>
      </vt:variant>
      <vt:variant>
        <vt:lpwstr>https://www.gov.uk/definition-of-disability-under-equality-act-2010</vt:lpwstr>
      </vt:variant>
      <vt:variant>
        <vt:lpwstr/>
      </vt:variant>
      <vt:variant>
        <vt:i4>721011</vt:i4>
      </vt:variant>
      <vt:variant>
        <vt:i4>3</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4128822</vt:i4>
      </vt:variant>
      <vt:variant>
        <vt:i4>0</vt:i4>
      </vt:variant>
      <vt:variant>
        <vt:i4>0</vt:i4>
      </vt:variant>
      <vt:variant>
        <vt:i4>5</vt:i4>
      </vt:variant>
      <vt:variant>
        <vt:lpwstr>https://www.glasgow.gov.uk/councillorsandcommittees/submissiondocuments.asp?submissionid=83692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2020-06-25T09:10:00Z</cp:lastPrinted>
  <dcterms:created xsi:type="dcterms:W3CDTF">2021-02-11T16:00:00Z</dcterms:created>
  <dcterms:modified xsi:type="dcterms:W3CDTF">2021-02-11T16:00:00Z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0d6ecd23-946e-484a-a080-9f901b317cbb</vt:lpwstr>
  </property>
  <property fmtid="{D5CDD505-2E9C-101B-9397-08002B2CF9AE}" pid="3" name="bjSaver">
    <vt:lpwstr>aIrh50NkALCnTdn4FDN8wSCVWebWe9fW</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