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EQUALITY IMPACT ASSESSMENT (EQIA)</w:t>
      </w:r>
      <w:r w:rsidR="00530518" w:rsidRPr="002101EA">
        <w:rPr>
          <w:b/>
          <w:sz w:val="40"/>
          <w:szCs w:val="40"/>
        </w:rPr>
        <w:t xml:space="preserve">: </w:t>
      </w:r>
    </w:p>
    <w:p w:rsidR="00CE1909" w:rsidRP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SCREENING FORM</w:t>
      </w: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CE1909" w:rsidRPr="002101EA" w:rsidRDefault="00716EFA" w:rsidP="00716EFA">
      <w:pPr>
        <w:pStyle w:val="Default"/>
        <w:ind w:left="360"/>
        <w:jc w:val="both"/>
      </w:pPr>
      <w:r w:rsidRPr="002101EA">
        <w:t>I</w:t>
      </w:r>
      <w:r w:rsidR="00CE1909" w:rsidRPr="002101EA">
        <w:t xml:space="preserve">ntroduction to the EQIA </w:t>
      </w:r>
      <w:r w:rsidRPr="002101EA">
        <w:t xml:space="preserve">screening </w:t>
      </w:r>
      <w:r w:rsidR="00CE1909" w:rsidRPr="002101EA">
        <w:t xml:space="preserve">process </w:t>
      </w:r>
    </w:p>
    <w:p w:rsidR="00CE1909" w:rsidRPr="002101EA" w:rsidRDefault="00CE1909" w:rsidP="00CE1909">
      <w:pPr>
        <w:pStyle w:val="Default"/>
        <w:ind w:left="360"/>
        <w:jc w:val="both"/>
      </w:pPr>
    </w:p>
    <w:p w:rsidR="00716EFA" w:rsidRPr="002101EA" w:rsidRDefault="00CE1909" w:rsidP="00716EFA">
      <w:pPr>
        <w:pStyle w:val="Default"/>
        <w:ind w:left="360"/>
        <w:jc w:val="both"/>
      </w:pPr>
      <w:r w:rsidRPr="002101EA">
        <w:t xml:space="preserve">A successful </w:t>
      </w:r>
      <w:r w:rsidRPr="002101EA">
        <w:rPr>
          <w:u w:val="single"/>
        </w:rPr>
        <w:t>EQIA</w:t>
      </w:r>
      <w:r w:rsidR="00530518" w:rsidRPr="002101EA">
        <w:rPr>
          <w:u w:val="single"/>
        </w:rPr>
        <w:t xml:space="preserve"> screening</w:t>
      </w:r>
      <w:r w:rsidRPr="002101EA">
        <w:rPr>
          <w:u w:val="single"/>
        </w:rPr>
        <w:t xml:space="preserve"> </w:t>
      </w:r>
      <w:r w:rsidRPr="002101EA">
        <w:t xml:space="preserve">will look at 5 key areas: </w:t>
      </w:r>
    </w:p>
    <w:p w:rsidR="00CE1909" w:rsidRPr="002101EA" w:rsidRDefault="00CE1909" w:rsidP="00CE1909">
      <w:pPr>
        <w:pStyle w:val="Default"/>
        <w:jc w:val="both"/>
      </w:pPr>
    </w:p>
    <w:p w:rsidR="00BA61E4" w:rsidRPr="002101EA" w:rsidRDefault="00CE1909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Identify the Policy, Project, </w:t>
      </w:r>
      <w:r w:rsidR="00716EFA" w:rsidRPr="002101EA">
        <w:rPr>
          <w:b/>
          <w:bCs/>
        </w:rPr>
        <w:t xml:space="preserve">Service Reform </w:t>
      </w:r>
      <w:r w:rsidRPr="002101EA">
        <w:rPr>
          <w:b/>
          <w:bCs/>
        </w:rPr>
        <w:t xml:space="preserve">or </w:t>
      </w:r>
      <w:r w:rsidR="00716EFA" w:rsidRPr="002101EA">
        <w:rPr>
          <w:b/>
          <w:bCs/>
        </w:rPr>
        <w:t>Budget Option</w:t>
      </w:r>
      <w:r w:rsidRPr="002101EA">
        <w:rPr>
          <w:b/>
          <w:bCs/>
        </w:rPr>
        <w:t xml:space="preserve"> to be assessed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A</w:t>
      </w:r>
      <w:r w:rsidR="00CE1909" w:rsidRPr="002101EA">
        <w:t xml:space="preserve"> clear definition</w:t>
      </w:r>
      <w:r w:rsidRPr="002101EA">
        <w:t xml:space="preserve"> of what is being screened</w:t>
      </w:r>
      <w:r w:rsidR="00CE1909" w:rsidRPr="002101EA">
        <w:t xml:space="preserve"> and its aims </w:t>
      </w:r>
    </w:p>
    <w:p w:rsidR="00716EFA" w:rsidRPr="002101EA" w:rsidRDefault="00716EFA" w:rsidP="00BA61E4">
      <w:pPr>
        <w:pStyle w:val="Default"/>
        <w:ind w:left="360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>Gathering Evidence &amp; Stakeholder Engagement</w:t>
      </w:r>
    </w:p>
    <w:p w:rsidR="00CE1909" w:rsidRPr="002101EA" w:rsidRDefault="00CE1909" w:rsidP="00BA61E4">
      <w:pPr>
        <w:pStyle w:val="Default"/>
        <w:ind w:left="720"/>
        <w:jc w:val="both"/>
      </w:pPr>
      <w:r w:rsidRPr="002101EA">
        <w:t>Collect data</w:t>
      </w:r>
      <w:r w:rsidRPr="002101EA">
        <w:rPr>
          <w:b/>
          <w:bCs/>
        </w:rPr>
        <w:t xml:space="preserve"> </w:t>
      </w:r>
      <w:r w:rsidRPr="002101EA">
        <w:t>to evidence the type of barriers people face to accessing services (research, consultations, complaints</w:t>
      </w:r>
      <w:r w:rsidRPr="002101EA">
        <w:rPr>
          <w:b/>
          <w:bCs/>
        </w:rPr>
        <w:t xml:space="preserve"> </w:t>
      </w:r>
      <w:r w:rsidRPr="002101EA">
        <w:t>and/o</w:t>
      </w:r>
      <w:r w:rsidR="00FF7D81" w:rsidRPr="002101EA">
        <w:t>r consult with equality groups</w:t>
      </w:r>
      <w:r w:rsidR="00961760" w:rsidRPr="002101EA">
        <w:t>)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Assessment &amp; </w:t>
      </w:r>
      <w:r w:rsidR="00716EFA" w:rsidRPr="002101EA">
        <w:rPr>
          <w:b/>
          <w:bCs/>
        </w:rPr>
        <w:t xml:space="preserve">Differential </w:t>
      </w:r>
      <w:r w:rsidR="00CE1909" w:rsidRPr="002101EA">
        <w:rPr>
          <w:b/>
          <w:bCs/>
        </w:rPr>
        <w:t>Impact</w:t>
      </w:r>
      <w:r w:rsidRPr="002101EA">
        <w:rPr>
          <w:b/>
          <w:bCs/>
        </w:rPr>
        <w:t>s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R</w:t>
      </w:r>
      <w:r w:rsidR="00CE1909" w:rsidRPr="002101EA">
        <w:t>eaching an informed decision on whether or not there is a differential impact on equa</w:t>
      </w:r>
      <w:r w:rsidR="00FF7D81" w:rsidRPr="002101EA">
        <w:t>lity groups, and at what level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numPr>
          <w:ilvl w:val="0"/>
          <w:numId w:val="7"/>
        </w:numPr>
        <w:tabs>
          <w:tab w:val="left" w:pos="6062"/>
          <w:tab w:val="left" w:pos="11164"/>
          <w:tab w:val="left" w:pos="15276"/>
        </w:tabs>
        <w:rPr>
          <w:b/>
          <w:bCs/>
          <w:szCs w:val="24"/>
        </w:rPr>
      </w:pPr>
      <w:r w:rsidRPr="002101EA">
        <w:rPr>
          <w:b/>
          <w:bCs/>
          <w:szCs w:val="24"/>
        </w:rPr>
        <w:t xml:space="preserve">Outcomes, </w:t>
      </w:r>
      <w:r w:rsidR="00716EFA" w:rsidRPr="002101EA">
        <w:rPr>
          <w:b/>
          <w:bCs/>
          <w:szCs w:val="24"/>
        </w:rPr>
        <w:t>Action</w:t>
      </w:r>
      <w:r w:rsidRPr="002101EA">
        <w:rPr>
          <w:b/>
          <w:bCs/>
          <w:szCs w:val="24"/>
        </w:rPr>
        <w:t xml:space="preserve"> &amp; Public Reporting</w:t>
      </w:r>
    </w:p>
    <w:p w:rsidR="007073B2" w:rsidRPr="002101EA" w:rsidRDefault="00BA61E4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  <w:r w:rsidRPr="002101EA">
        <w:rPr>
          <w:szCs w:val="24"/>
        </w:rPr>
        <w:t>D</w:t>
      </w:r>
      <w:r w:rsidR="00CE1909" w:rsidRPr="002101EA">
        <w:rPr>
          <w:szCs w:val="24"/>
        </w:rPr>
        <w:t>evelop an action plan to make changes where a negative impact has been assessed</w:t>
      </w:r>
      <w:r w:rsidR="0008714A" w:rsidRPr="002101EA">
        <w:rPr>
          <w:bCs/>
          <w:szCs w:val="24"/>
        </w:rPr>
        <w:t>. Ensure that both the assessment outcomes and the actions taken to address negative impacts are publically reported</w:t>
      </w:r>
    </w:p>
    <w:p w:rsidR="007073B2" w:rsidRPr="002101EA" w:rsidRDefault="007073B2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</w:p>
    <w:p w:rsidR="0008714A" w:rsidRPr="002101EA" w:rsidRDefault="0008714A" w:rsidP="005272A9">
      <w:pPr>
        <w:numPr>
          <w:ilvl w:val="0"/>
          <w:numId w:val="7"/>
        </w:numPr>
        <w:tabs>
          <w:tab w:val="left" w:pos="720"/>
          <w:tab w:val="left" w:pos="11164"/>
          <w:tab w:val="left" w:pos="15276"/>
        </w:tabs>
        <w:rPr>
          <w:bCs/>
          <w:szCs w:val="24"/>
        </w:rPr>
      </w:pPr>
      <w:r w:rsidRPr="002101EA">
        <w:rPr>
          <w:b/>
          <w:szCs w:val="24"/>
        </w:rPr>
        <w:t xml:space="preserve">Monitoring, Evaluation &amp; Review </w:t>
      </w:r>
    </w:p>
    <w:p w:rsidR="00CE1909" w:rsidRPr="002101EA" w:rsidRDefault="00BA61E4" w:rsidP="00BA61E4">
      <w:pPr>
        <w:tabs>
          <w:tab w:val="left" w:pos="720"/>
        </w:tabs>
        <w:ind w:left="720"/>
        <w:rPr>
          <w:szCs w:val="24"/>
        </w:rPr>
      </w:pPr>
      <w:r w:rsidRPr="002101EA">
        <w:rPr>
          <w:szCs w:val="24"/>
        </w:rPr>
        <w:t>S</w:t>
      </w:r>
      <w:r w:rsidR="00CE1909" w:rsidRPr="002101EA">
        <w:rPr>
          <w:szCs w:val="24"/>
        </w:rPr>
        <w:t xml:space="preserve">tating how you will monitor and evaluate the </w:t>
      </w:r>
      <w:r w:rsidRPr="002101EA">
        <w:rPr>
          <w:b/>
          <w:bCs/>
          <w:szCs w:val="24"/>
        </w:rPr>
        <w:t>Policy, Project, Service Reform or Budget Option</w:t>
      </w:r>
      <w:r w:rsidR="00CE1909" w:rsidRPr="002101EA">
        <w:rPr>
          <w:szCs w:val="24"/>
        </w:rPr>
        <w:t xml:space="preserve"> to en</w:t>
      </w:r>
      <w:r w:rsidR="00B07F00" w:rsidRPr="002101EA">
        <w:rPr>
          <w:szCs w:val="24"/>
        </w:rPr>
        <w:t xml:space="preserve">sure that you are continuing to </w:t>
      </w:r>
      <w:r w:rsidR="00CE1909" w:rsidRPr="002101EA">
        <w:rPr>
          <w:szCs w:val="24"/>
        </w:rPr>
        <w:t>achieve the expected outcomes for all groups.</w:t>
      </w:r>
    </w:p>
    <w:p w:rsidR="0008714A" w:rsidRPr="002101EA" w:rsidRDefault="0008714A" w:rsidP="00BA61E4">
      <w:pPr>
        <w:tabs>
          <w:tab w:val="left" w:pos="6062"/>
          <w:tab w:val="left" w:pos="11164"/>
          <w:tab w:val="left" w:pos="14580"/>
        </w:tabs>
        <w:ind w:left="-176"/>
        <w:rPr>
          <w:szCs w:val="24"/>
        </w:rPr>
        <w:sectPr w:rsidR="0008714A" w:rsidRPr="002101EA" w:rsidSect="002101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-176"/>
        <w:rPr>
          <w:sz w:val="22"/>
        </w:rPr>
      </w:pPr>
    </w:p>
    <w:p w:rsidR="00CE1909" w:rsidRPr="00B04CFA" w:rsidRDefault="00716EFA" w:rsidP="00716EFA">
      <w:pPr>
        <w:tabs>
          <w:tab w:val="left" w:pos="6062"/>
          <w:tab w:val="left" w:pos="11164"/>
          <w:tab w:val="left" w:pos="15276"/>
        </w:tabs>
        <w:ind w:left="360"/>
        <w:rPr>
          <w:sz w:val="36"/>
          <w:szCs w:val="36"/>
        </w:rPr>
      </w:pPr>
      <w:r w:rsidRPr="00B04CFA">
        <w:rPr>
          <w:b/>
          <w:bCs/>
          <w:sz w:val="36"/>
          <w:szCs w:val="36"/>
        </w:rPr>
        <w:t>1. IDENTIFY THE POLICY, PROJECT, SERVICE REFORM OR BUDGET OPTION</w:t>
      </w:r>
      <w:r w:rsidR="00CE1909" w:rsidRPr="00B04CFA">
        <w:rPr>
          <w:sz w:val="36"/>
          <w:szCs w:val="36"/>
        </w:rPr>
        <w:t xml:space="preserve">: </w:t>
      </w:r>
    </w:p>
    <w:p w:rsidR="00BA61E4" w:rsidRDefault="00BA61E4" w:rsidP="00BA61E4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Pr="00163A6F" w:rsidRDefault="00BA61E4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the Policy, Project, Service Reform or Budget Option to be screened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530518" w:rsidRPr="00C87613" w:rsidRDefault="00EB34D0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Glasgow Food Growing Strategy</w:t>
            </w:r>
          </w:p>
        </w:tc>
      </w:tr>
    </w:tbl>
    <w:p w:rsidR="00CE1909" w:rsidRDefault="00CE1909" w:rsidP="00530518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163A6F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 w:rsidRPr="00163A6F">
        <w:rPr>
          <w:sz w:val="22"/>
        </w:rPr>
        <w:t>Reason for Change in Policy or Policy Development</w:t>
      </w:r>
      <w:r>
        <w:rPr>
          <w:sz w:val="22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840351">
        <w:trPr>
          <w:trHeight w:val="770"/>
        </w:trPr>
        <w:tc>
          <w:tcPr>
            <w:tcW w:w="14295" w:type="dxa"/>
            <w:shd w:val="clear" w:color="auto" w:fill="auto"/>
          </w:tcPr>
          <w:p w:rsidR="00530518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EB34D0" w:rsidRPr="00C87613" w:rsidRDefault="00EB34D0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Community Empowerment (Scotland) Act 2015, Part Allotments requires all Scottish Local Authorities to develop a food growing strategy for their areas.</w:t>
            </w:r>
          </w:p>
        </w:tc>
      </w:tr>
    </w:tbl>
    <w:p w:rsidR="00163A6F" w:rsidRPr="00163A6F" w:rsidRDefault="00163A6F" w:rsidP="00163A6F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163A6F" w:rsidRPr="00163A6F" w:rsidRDefault="00163A6F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>List main outcome focus and supporting activities of the Policy, Project, Service Reform or Budget Option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163A6F" w:rsidRPr="00C87613" w:rsidTr="00840351">
        <w:trPr>
          <w:trHeight w:val="604"/>
        </w:trPr>
        <w:tc>
          <w:tcPr>
            <w:tcW w:w="14295" w:type="dxa"/>
            <w:shd w:val="clear" w:color="auto" w:fill="auto"/>
          </w:tcPr>
          <w:p w:rsidR="00163A6F" w:rsidRDefault="00163A6F" w:rsidP="005427A5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954A07" w:rsidRPr="00C87613" w:rsidRDefault="00954A07" w:rsidP="005427A5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The main outcome will be the production of a Food Growing Strategy within the timelines set by the legislation.</w:t>
            </w:r>
          </w:p>
        </w:tc>
      </w:tr>
    </w:tbl>
    <w:p w:rsidR="00163A6F" w:rsidRDefault="00163A6F" w:rsidP="00CE1909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officer completing assessment 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530518" w:rsidRPr="00C87613" w:rsidRDefault="001D1EB3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Kenneth Harris 18/12/19</w:t>
            </w: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Assessment Verified by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2138E2" w:rsidRPr="00C87613" w:rsidRDefault="002138E2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Seamus Connolly 18/12/19</w:t>
            </w:r>
          </w:p>
        </w:tc>
      </w:tr>
    </w:tbl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A403D7" w:rsidRPr="00840351" w:rsidRDefault="00A403D7" w:rsidP="00A403D7">
      <w:pPr>
        <w:pStyle w:val="Heading1"/>
        <w:ind w:left="360"/>
        <w:rPr>
          <w:sz w:val="8"/>
          <w:szCs w:val="8"/>
        </w:rPr>
      </w:pPr>
    </w:p>
    <w:p w:rsidR="00CE1909" w:rsidRPr="00B04CFA" w:rsidRDefault="00697CBC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 xml:space="preserve">GATHERING </w:t>
      </w:r>
      <w:r w:rsidR="00716EFA" w:rsidRPr="00B04CFA">
        <w:rPr>
          <w:sz w:val="36"/>
          <w:szCs w:val="36"/>
        </w:rPr>
        <w:t xml:space="preserve">EVIDENCE &amp; </w:t>
      </w:r>
      <w:r w:rsidRPr="00B04CFA">
        <w:rPr>
          <w:sz w:val="36"/>
          <w:szCs w:val="36"/>
        </w:rPr>
        <w:t xml:space="preserve">STAKEHOLDER </w:t>
      </w:r>
      <w:r w:rsidR="00CE1909" w:rsidRPr="00B04CFA">
        <w:rPr>
          <w:sz w:val="36"/>
          <w:szCs w:val="36"/>
        </w:rPr>
        <w:t>ENGAGEMENT</w:t>
      </w:r>
    </w:p>
    <w:p w:rsidR="00A403D7" w:rsidRPr="00840351" w:rsidRDefault="00A403D7" w:rsidP="00CE1909">
      <w:pPr>
        <w:rPr>
          <w:sz w:val="16"/>
          <w:szCs w:val="16"/>
        </w:rPr>
      </w:pPr>
    </w:p>
    <w:p w:rsidR="00CE1909" w:rsidRDefault="00CE1909" w:rsidP="00781F6A">
      <w:pPr>
        <w:ind w:left="360"/>
        <w:rPr>
          <w:sz w:val="22"/>
        </w:rPr>
      </w:pPr>
      <w:r>
        <w:rPr>
          <w:sz w:val="22"/>
        </w:rPr>
        <w:t xml:space="preserve">The best approach to find out if a policy, etc is likely to impact positively </w:t>
      </w:r>
      <w:r w:rsidR="00D70CD6">
        <w:rPr>
          <w:sz w:val="22"/>
        </w:rPr>
        <w:t xml:space="preserve">or negatively </w:t>
      </w:r>
      <w:r>
        <w:rPr>
          <w:sz w:val="22"/>
        </w:rPr>
        <w:t xml:space="preserve">on equality groups is to look at existing research, previous consultation recommendations, studies or consult with representatives of those groups.  </w:t>
      </w:r>
      <w:r w:rsidR="00D70CD6">
        <w:rPr>
          <w:sz w:val="22"/>
        </w:rPr>
        <w:t xml:space="preserve">You should list below any data, consultations (previous relevant or future planned), or any relevant research or analysis that supports the </w:t>
      </w:r>
      <w:r w:rsidR="00D70CD6" w:rsidRPr="00D70CD6">
        <w:rPr>
          <w:bCs/>
          <w:sz w:val="22"/>
          <w:szCs w:val="28"/>
        </w:rPr>
        <w:t>Policy, Project, Service Reform or Budget Option</w:t>
      </w:r>
      <w:r w:rsidR="00D70CD6">
        <w:rPr>
          <w:bCs/>
          <w:sz w:val="22"/>
          <w:szCs w:val="28"/>
        </w:rPr>
        <w:t xml:space="preserve"> being undertaken. </w:t>
      </w:r>
    </w:p>
    <w:p w:rsidR="00CE1909" w:rsidRPr="00840351" w:rsidRDefault="00CE1909" w:rsidP="00CE1909">
      <w:pPr>
        <w:rPr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5072"/>
        <w:gridCol w:w="7613"/>
      </w:tblGrid>
      <w:tr w:rsidR="00CE1909" w:rsidTr="00840351">
        <w:tblPrEx>
          <w:tblCellMar>
            <w:top w:w="0" w:type="dxa"/>
            <w:bottom w:w="0" w:type="dxa"/>
          </w:tblCellMar>
        </w:tblPrEx>
        <w:tc>
          <w:tcPr>
            <w:tcW w:w="1784" w:type="dxa"/>
            <w:shd w:val="clear" w:color="auto" w:fill="C0C0C0"/>
          </w:tcPr>
          <w:p w:rsidR="00CE1909" w:rsidRPr="006D3284" w:rsidRDefault="00CE1909" w:rsidP="0021793B">
            <w:pPr>
              <w:rPr>
                <w:sz w:val="22"/>
              </w:rPr>
            </w:pPr>
            <w:r w:rsidRPr="006D3284">
              <w:rPr>
                <w:sz w:val="22"/>
              </w:rPr>
              <w:t>Please name any research, data, consultation or studies referred to for this assessment:</w:t>
            </w:r>
          </w:p>
        </w:tc>
        <w:tc>
          <w:tcPr>
            <w:tcW w:w="5072" w:type="dxa"/>
            <w:shd w:val="clear" w:color="auto" w:fill="C0C0C0"/>
          </w:tcPr>
          <w:p w:rsidR="00874EAF" w:rsidRDefault="00CE1909" w:rsidP="00874EA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Please state if this reference refers t</w:t>
            </w:r>
            <w:r w:rsidR="00874EAF">
              <w:rPr>
                <w:sz w:val="22"/>
              </w:rPr>
              <w:t>o one or more of the protected characteristics</w:t>
            </w:r>
            <w:r w:rsidR="00874EAF">
              <w:rPr>
                <w:rFonts w:cs="Arial"/>
                <w:szCs w:val="24"/>
              </w:rPr>
              <w:t>:</w:t>
            </w:r>
          </w:p>
          <w:p w:rsidR="00874EAF" w:rsidRPr="00840351" w:rsidRDefault="00874EAF" w:rsidP="00874EAF">
            <w:pPr>
              <w:rPr>
                <w:rFonts w:cs="Arial"/>
                <w:sz w:val="8"/>
                <w:szCs w:val="8"/>
              </w:rPr>
            </w:pPr>
          </w:p>
          <w:p w:rsidR="00BC1931" w:rsidRDefault="00BC1931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disability,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race</w:t>
            </w:r>
            <w:r>
              <w:rPr>
                <w:rFonts w:cs="Arial"/>
                <w:sz w:val="22"/>
                <w:szCs w:val="22"/>
              </w:rPr>
              <w:t xml:space="preserve"> and/or ethnicity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religion or belief (including lack of belief), </w:t>
            </w:r>
          </w:p>
          <w:p w:rsid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gender reassignment, </w:t>
            </w:r>
          </w:p>
          <w:p w:rsidR="00CE1909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sexual orientation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marriage and civil partnership, </w:t>
            </w:r>
          </w:p>
          <w:p w:rsidR="00874EAF" w:rsidRPr="00840351" w:rsidRDefault="00874EAF" w:rsidP="00840351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pregnancy and maternity, </w:t>
            </w:r>
          </w:p>
        </w:tc>
        <w:tc>
          <w:tcPr>
            <w:tcW w:w="7613" w:type="dxa"/>
            <w:shd w:val="clear" w:color="auto" w:fill="C0C0C0"/>
          </w:tcPr>
          <w:p w:rsidR="00CE1909" w:rsidRDefault="00CE1909" w:rsidP="00D70CD6">
            <w:pPr>
              <w:rPr>
                <w:sz w:val="22"/>
              </w:rPr>
            </w:pPr>
            <w:r>
              <w:rPr>
                <w:sz w:val="22"/>
              </w:rPr>
              <w:t xml:space="preserve">Do you intend to set up your own consultation?  If so, please list the main issues that </w:t>
            </w:r>
            <w:r w:rsidR="00D70CD6">
              <w:rPr>
                <w:sz w:val="22"/>
              </w:rPr>
              <w:t>you wish to address if the consultation is planned; or if consultation has been completed, please note the out</w:t>
            </w:r>
            <w:r>
              <w:rPr>
                <w:sz w:val="22"/>
              </w:rPr>
              <w:t>come</w:t>
            </w:r>
            <w:r w:rsidR="00D70CD6">
              <w:rPr>
                <w:sz w:val="22"/>
              </w:rPr>
              <w:t>(s)</w:t>
            </w:r>
            <w:r>
              <w:rPr>
                <w:sz w:val="22"/>
              </w:rPr>
              <w:t xml:space="preserve"> </w:t>
            </w:r>
            <w:r w:rsidR="00D70CD6">
              <w:rPr>
                <w:sz w:val="22"/>
              </w:rPr>
              <w:t>of</w:t>
            </w:r>
            <w:r>
              <w:rPr>
                <w:sz w:val="22"/>
              </w:rPr>
              <w:t xml:space="preserve"> consultation.</w:t>
            </w:r>
          </w:p>
          <w:p w:rsidR="00D70CD6" w:rsidRDefault="00D70CD6" w:rsidP="00D70CD6">
            <w:pPr>
              <w:rPr>
                <w:sz w:val="22"/>
              </w:rPr>
            </w:pPr>
          </w:p>
        </w:tc>
      </w:tr>
      <w:tr w:rsidR="00CE1909" w:rsidTr="00840351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874EAF" w:rsidRDefault="00B826B9" w:rsidP="0021793B">
            <w:pPr>
              <w:rPr>
                <w:sz w:val="22"/>
              </w:rPr>
            </w:pPr>
            <w:r>
              <w:rPr>
                <w:sz w:val="22"/>
              </w:rPr>
              <w:t>We are unaware of any food growing related research on equality protected characteristics.</w:t>
            </w:r>
          </w:p>
          <w:p w:rsidR="00874EAF" w:rsidRDefault="00874EAF" w:rsidP="0021793B">
            <w:pPr>
              <w:rPr>
                <w:sz w:val="22"/>
              </w:rPr>
            </w:pPr>
          </w:p>
        </w:tc>
        <w:tc>
          <w:tcPr>
            <w:tcW w:w="5072" w:type="dxa"/>
          </w:tcPr>
          <w:p w:rsidR="00B826B9" w:rsidRDefault="00B826B9" w:rsidP="0021793B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7613" w:type="dxa"/>
          </w:tcPr>
          <w:p w:rsidR="00B826B9" w:rsidRDefault="00093842" w:rsidP="0021793B">
            <w:pPr>
              <w:rPr>
                <w:sz w:val="22"/>
              </w:rPr>
            </w:pPr>
            <w:r>
              <w:rPr>
                <w:sz w:val="22"/>
              </w:rPr>
              <w:t>The follow consultations were carried out:</w:t>
            </w:r>
          </w:p>
          <w:p w:rsidR="00583F2E" w:rsidRPr="00840351" w:rsidRDefault="00583F2E" w:rsidP="0021793B">
            <w:pPr>
              <w:rPr>
                <w:sz w:val="8"/>
                <w:szCs w:val="8"/>
              </w:rPr>
            </w:pPr>
          </w:p>
          <w:p w:rsidR="00093842" w:rsidRDefault="00093842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2016 </w:t>
            </w:r>
            <w:r w:rsidR="00583F2E">
              <w:rPr>
                <w:sz w:val="22"/>
              </w:rPr>
              <w:t>– Citywide allotments c</w:t>
            </w:r>
            <w:r>
              <w:rPr>
                <w:sz w:val="22"/>
              </w:rPr>
              <w:t xml:space="preserve">onsultation </w:t>
            </w:r>
          </w:p>
          <w:p w:rsidR="00583F2E" w:rsidRDefault="00583F2E" w:rsidP="0021793B">
            <w:pPr>
              <w:rPr>
                <w:sz w:val="22"/>
              </w:rPr>
            </w:pPr>
            <w:r>
              <w:rPr>
                <w:sz w:val="22"/>
              </w:rPr>
              <w:t>2017 – Citywide food growing consultation</w:t>
            </w:r>
          </w:p>
          <w:p w:rsidR="00583F2E" w:rsidRDefault="00583F2E" w:rsidP="0021793B">
            <w:pPr>
              <w:rPr>
                <w:sz w:val="22"/>
              </w:rPr>
            </w:pPr>
            <w:r>
              <w:rPr>
                <w:sz w:val="22"/>
              </w:rPr>
              <w:t>2018 – Food Growing Strategy consultation for 4 city council wards</w:t>
            </w:r>
          </w:p>
          <w:p w:rsidR="00583F2E" w:rsidRDefault="00583F2E" w:rsidP="0021793B">
            <w:pPr>
              <w:rPr>
                <w:sz w:val="22"/>
              </w:rPr>
            </w:pPr>
            <w:r>
              <w:rPr>
                <w:sz w:val="22"/>
              </w:rPr>
              <w:t>2019 – Food Growing Strategy consultation for 19 city council wards</w:t>
            </w:r>
          </w:p>
          <w:p w:rsidR="00583F2E" w:rsidRDefault="00583F2E" w:rsidP="0021793B">
            <w:pPr>
              <w:rPr>
                <w:sz w:val="22"/>
              </w:rPr>
            </w:pPr>
            <w:r>
              <w:rPr>
                <w:sz w:val="22"/>
              </w:rPr>
              <w:t>2019 – Food Growing Strategy updates provided to a majority of area partnerships.</w:t>
            </w:r>
          </w:p>
          <w:p w:rsidR="001D1EB3" w:rsidRPr="00840351" w:rsidRDefault="001D1EB3" w:rsidP="0021793B">
            <w:pPr>
              <w:rPr>
                <w:sz w:val="8"/>
                <w:szCs w:val="8"/>
              </w:rPr>
            </w:pPr>
          </w:p>
          <w:p w:rsidR="001D1EB3" w:rsidRDefault="001D1EB3" w:rsidP="0021793B">
            <w:pPr>
              <w:rPr>
                <w:sz w:val="22"/>
              </w:rPr>
            </w:pPr>
            <w:r>
              <w:rPr>
                <w:sz w:val="22"/>
              </w:rPr>
              <w:t>Links to these consultations are available at</w:t>
            </w:r>
            <w:r w:rsidR="00275AE9">
              <w:rPr>
                <w:sz w:val="22"/>
              </w:rPr>
              <w:t xml:space="preserve"> the following:</w:t>
            </w:r>
          </w:p>
          <w:p w:rsidR="00275AE9" w:rsidRPr="00840351" w:rsidRDefault="00275AE9" w:rsidP="0021793B">
            <w:pPr>
              <w:rPr>
                <w:sz w:val="8"/>
                <w:szCs w:val="8"/>
              </w:rPr>
            </w:pPr>
          </w:p>
          <w:p w:rsidR="00275AE9" w:rsidRDefault="00275AE9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2016/17/18 Consultations </w:t>
            </w:r>
            <w:r w:rsidRPr="00275AE9">
              <w:rPr>
                <w:sz w:val="22"/>
              </w:rPr>
              <w:t>www.glasgow.gov.uk/councillorsandcommittees/submissiondocuments.asp?submissionid=88611</w:t>
            </w:r>
          </w:p>
          <w:p w:rsidR="00583F2E" w:rsidRPr="00840351" w:rsidRDefault="00583F2E" w:rsidP="0021793B">
            <w:pPr>
              <w:rPr>
                <w:sz w:val="8"/>
                <w:szCs w:val="8"/>
              </w:rPr>
            </w:pPr>
          </w:p>
          <w:p w:rsidR="00275AE9" w:rsidRDefault="00275AE9" w:rsidP="0021793B">
            <w:pPr>
              <w:rPr>
                <w:sz w:val="22"/>
              </w:rPr>
            </w:pPr>
            <w:r>
              <w:rPr>
                <w:sz w:val="22"/>
              </w:rPr>
              <w:t>2018/19 Consultations</w:t>
            </w:r>
          </w:p>
          <w:p w:rsidR="00275AE9" w:rsidRDefault="00BF129F" w:rsidP="0021793B">
            <w:pPr>
              <w:rPr>
                <w:sz w:val="22"/>
              </w:rPr>
            </w:pPr>
            <w:hyperlink r:id="rId15" w:tooltip="Link to information online" w:history="1">
              <w:r w:rsidRPr="003C3B31">
                <w:rPr>
                  <w:rStyle w:val="Hyperlink"/>
                  <w:sz w:val="22"/>
                </w:rPr>
                <w:t>www.glasgow.gov.uk/foodgrowing</w:t>
              </w:r>
            </w:hyperlink>
          </w:p>
          <w:p w:rsidR="00275AE9" w:rsidRPr="00840351" w:rsidRDefault="00275AE9" w:rsidP="0021793B">
            <w:pPr>
              <w:rPr>
                <w:sz w:val="8"/>
                <w:szCs w:val="8"/>
              </w:rPr>
            </w:pPr>
          </w:p>
          <w:p w:rsidR="00583F2E" w:rsidRDefault="00583F2E" w:rsidP="0021793B">
            <w:pPr>
              <w:rPr>
                <w:sz w:val="22"/>
              </w:rPr>
            </w:pPr>
            <w:r>
              <w:rPr>
                <w:sz w:val="22"/>
              </w:rPr>
              <w:t>No specific equalities issues were raised at any of the events.</w:t>
            </w:r>
          </w:p>
          <w:p w:rsidR="00E76EB4" w:rsidRPr="00840351" w:rsidRDefault="00E76EB4" w:rsidP="0021793B">
            <w:pPr>
              <w:rPr>
                <w:sz w:val="8"/>
                <w:szCs w:val="8"/>
              </w:rPr>
            </w:pPr>
          </w:p>
          <w:p w:rsidR="00E76EB4" w:rsidRDefault="00E76EB4" w:rsidP="0021793B">
            <w:pPr>
              <w:rPr>
                <w:sz w:val="22"/>
              </w:rPr>
            </w:pPr>
            <w:r>
              <w:rPr>
                <w:sz w:val="22"/>
              </w:rPr>
              <w:t>There will, in 2020, be further consultation specifically linked to allotments rules and regulations.</w:t>
            </w:r>
          </w:p>
        </w:tc>
      </w:tr>
    </w:tbl>
    <w:p w:rsidR="00CE1909" w:rsidRDefault="00CE1909" w:rsidP="00CE1909">
      <w:pPr>
        <w:rPr>
          <w:sz w:val="22"/>
        </w:rPr>
      </w:pPr>
    </w:p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998" w:bottom="1135" w:left="851" w:header="720" w:footer="720" w:gutter="0"/>
          <w:cols w:space="720"/>
        </w:sectPr>
      </w:pPr>
    </w:p>
    <w:p w:rsidR="00781F6A" w:rsidRPr="00B04CFA" w:rsidRDefault="006B404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>A</w:t>
      </w:r>
      <w:r w:rsidR="00EB23B8" w:rsidRPr="00B04CFA">
        <w:rPr>
          <w:sz w:val="36"/>
          <w:szCs w:val="36"/>
        </w:rPr>
        <w:t>SSESS</w:t>
      </w:r>
      <w:r w:rsidRPr="00B04CFA">
        <w:rPr>
          <w:sz w:val="36"/>
          <w:szCs w:val="36"/>
        </w:rPr>
        <w:t xml:space="preserve">MENT &amp; </w:t>
      </w:r>
      <w:r w:rsidR="00CE1909" w:rsidRPr="00B04CFA">
        <w:rPr>
          <w:sz w:val="36"/>
          <w:szCs w:val="36"/>
        </w:rPr>
        <w:t>DIFFERENTIAL IMPACT</w:t>
      </w:r>
      <w:r w:rsidRPr="00B04CFA">
        <w:rPr>
          <w:sz w:val="36"/>
          <w:szCs w:val="36"/>
        </w:rPr>
        <w:t>S</w:t>
      </w:r>
    </w:p>
    <w:p w:rsidR="00797EAC" w:rsidRDefault="00797EAC" w:rsidP="00781F6A">
      <w:pPr>
        <w:ind w:left="360"/>
        <w:rPr>
          <w:sz w:val="22"/>
          <w:szCs w:val="22"/>
        </w:rPr>
      </w:pPr>
    </w:p>
    <w:p w:rsidR="00A67987" w:rsidRPr="00781F6A" w:rsidRDefault="00077E39" w:rsidP="00AE68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Use the table below </w:t>
      </w:r>
      <w:r w:rsidR="006143B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provide some </w:t>
      </w:r>
      <w:r w:rsidRPr="00077E39">
        <w:rPr>
          <w:b/>
          <w:sz w:val="22"/>
          <w:szCs w:val="22"/>
        </w:rPr>
        <w:t>narrative</w:t>
      </w:r>
      <w:r w:rsidR="00CE1909" w:rsidRPr="00781F6A">
        <w:rPr>
          <w:sz w:val="22"/>
          <w:szCs w:val="22"/>
        </w:rPr>
        <w:t xml:space="preserve"> where you think the </w:t>
      </w:r>
      <w:r w:rsidR="00A67987">
        <w:rPr>
          <w:b/>
          <w:bCs/>
          <w:sz w:val="22"/>
          <w:szCs w:val="28"/>
        </w:rPr>
        <w:t xml:space="preserve">Policy, Project, Service Reform or Budget Option </w:t>
      </w:r>
      <w:r w:rsidR="00CE1909" w:rsidRPr="00781F6A">
        <w:rPr>
          <w:sz w:val="22"/>
          <w:szCs w:val="22"/>
        </w:rPr>
        <w:t xml:space="preserve">has either </w:t>
      </w:r>
      <w:r>
        <w:rPr>
          <w:sz w:val="22"/>
          <w:szCs w:val="22"/>
        </w:rPr>
        <w:t xml:space="preserve">a </w:t>
      </w:r>
      <w:r w:rsidRPr="00781F6A">
        <w:rPr>
          <w:sz w:val="22"/>
          <w:szCs w:val="22"/>
        </w:rPr>
        <w:t>positive impact (contributes to promoting equality or improving relations within an equality group)</w:t>
      </w:r>
      <w:r>
        <w:rPr>
          <w:sz w:val="22"/>
          <w:szCs w:val="22"/>
        </w:rPr>
        <w:t xml:space="preserve"> or </w:t>
      </w:r>
      <w:r w:rsidR="00CE1909" w:rsidRPr="00781F6A">
        <w:rPr>
          <w:sz w:val="22"/>
          <w:szCs w:val="22"/>
        </w:rPr>
        <w:t xml:space="preserve">a negative impact (could disadvantage them) </w:t>
      </w:r>
      <w:r>
        <w:rPr>
          <w:sz w:val="22"/>
          <w:szCs w:val="22"/>
        </w:rPr>
        <w:t>and note the reason for the change in policy or the reason for policy development</w:t>
      </w:r>
      <w:r w:rsidR="00CE1909" w:rsidRPr="00781F6A">
        <w:rPr>
          <w:sz w:val="22"/>
          <w:szCs w:val="22"/>
        </w:rPr>
        <w:t>, based on the evidence you have collated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468" w:tblpY="15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22"/>
        <w:gridCol w:w="3056"/>
        <w:gridCol w:w="2807"/>
        <w:gridCol w:w="4706"/>
      </w:tblGrid>
      <w:tr w:rsidR="00163A6F" w:rsidTr="005637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8" w:type="dxa"/>
            <w:shd w:val="clear" w:color="auto" w:fill="C0C0C0"/>
          </w:tcPr>
          <w:p w:rsidR="00163A6F" w:rsidRPr="00874EAF" w:rsidRDefault="00163A6F" w:rsidP="00781F6A">
            <w:pPr>
              <w:jc w:val="both"/>
              <w:rPr>
                <w:b/>
                <w:sz w:val="22"/>
              </w:rPr>
            </w:pPr>
            <w:r w:rsidRPr="00874EAF">
              <w:rPr>
                <w:b/>
                <w:sz w:val="22"/>
              </w:rPr>
              <w:t>Protected Characteristic</w:t>
            </w:r>
          </w:p>
        </w:tc>
        <w:tc>
          <w:tcPr>
            <w:tcW w:w="2222" w:type="dxa"/>
            <w:shd w:val="clear" w:color="auto" w:fill="C0C0C0"/>
          </w:tcPr>
          <w:p w:rsidR="00163A6F" w:rsidRPr="0095563E" w:rsidRDefault="00163A6F" w:rsidP="00781F6A">
            <w:pPr>
              <w:rPr>
                <w:b/>
                <w:sz w:val="22"/>
              </w:rPr>
            </w:pPr>
            <w:r w:rsidRPr="0095563E">
              <w:rPr>
                <w:b/>
                <w:sz w:val="22"/>
              </w:rPr>
              <w:t>Specific Characteristics</w:t>
            </w:r>
          </w:p>
        </w:tc>
        <w:tc>
          <w:tcPr>
            <w:tcW w:w="3056" w:type="dxa"/>
            <w:shd w:val="clear" w:color="auto" w:fill="C0C0C0"/>
          </w:tcPr>
          <w:p w:rsidR="00711922" w:rsidRDefault="00711922" w:rsidP="00781F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Positive Impact </w:t>
            </w:r>
          </w:p>
          <w:p w:rsidR="00163A6F" w:rsidRPr="00840351" w:rsidRDefault="00711922" w:rsidP="00781F6A">
            <w:pPr>
              <w:rPr>
                <w:b/>
                <w:sz w:val="16"/>
                <w:szCs w:val="16"/>
              </w:rPr>
            </w:pPr>
            <w:r w:rsidRPr="00840351">
              <w:rPr>
                <w:b/>
                <w:sz w:val="16"/>
                <w:szCs w:val="16"/>
              </w:rPr>
              <w:t>(</w:t>
            </w:r>
            <w:r w:rsidR="00163A6F" w:rsidRPr="00840351">
              <w:rPr>
                <w:b/>
                <w:sz w:val="16"/>
                <w:szCs w:val="16"/>
              </w:rPr>
              <w:t>it could benefit an equality group</w:t>
            </w:r>
            <w:r w:rsidRPr="0084035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07" w:type="dxa"/>
            <w:shd w:val="clear" w:color="auto" w:fill="C0C0C0"/>
          </w:tcPr>
          <w:p w:rsidR="00163A6F" w:rsidRDefault="00163A6F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 xml:space="preserve">Negative Impact – </w:t>
            </w:r>
          </w:p>
          <w:p w:rsidR="00163A6F" w:rsidRPr="00711922" w:rsidRDefault="00711922" w:rsidP="00781F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63A6F" w:rsidRPr="00711922">
              <w:rPr>
                <w:b/>
                <w:sz w:val="16"/>
                <w:szCs w:val="16"/>
              </w:rPr>
              <w:t>it could disadvantage an equality group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</w:tcPr>
          <w:p w:rsidR="00A67C25" w:rsidRDefault="00163A6F" w:rsidP="00781F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Socio Economic / </w:t>
            </w:r>
          </w:p>
          <w:p w:rsidR="00163A6F" w:rsidRPr="00823AE0" w:rsidRDefault="00163A6F" w:rsidP="007245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Human Rights Impacts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SEX/ </w:t>
            </w:r>
            <w:r w:rsidRPr="00534BCA">
              <w:rPr>
                <w:b/>
                <w:sz w:val="22"/>
              </w:rPr>
              <w:t>GENDER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3056" w:type="dxa"/>
          </w:tcPr>
          <w:p w:rsidR="00163A6F" w:rsidRDefault="00583F2E" w:rsidP="00781F6A">
            <w:pPr>
              <w:rPr>
                <w:sz w:val="22"/>
              </w:rPr>
            </w:pPr>
            <w:r>
              <w:rPr>
                <w:sz w:val="22"/>
              </w:rPr>
              <w:t>Being part of a growing group where individual knowledge and experiences can benefit fellow growers can break down barriers between different members from any protected characteristic.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</w:tcPr>
          <w:p w:rsidR="005F40CF" w:rsidRPr="00563762" w:rsidRDefault="00486FFF" w:rsidP="00563762">
            <w:pPr>
              <w:rPr>
                <w:rFonts w:cs="Arial"/>
                <w:sz w:val="22"/>
                <w:szCs w:val="22"/>
                <w:lang w:val="en"/>
              </w:rPr>
            </w:pPr>
            <w:r w:rsidRPr="00840351">
              <w:rPr>
                <w:sz w:val="22"/>
                <w:szCs w:val="22"/>
              </w:rPr>
              <w:t>The Community Empowerment (Scotland) Act Part 9, S119 (5)</w:t>
            </w:r>
            <w:r w:rsidRPr="00840351">
              <w:rPr>
                <w:rStyle w:val="Header"/>
                <w:rFonts w:cs="Arial"/>
                <w:sz w:val="22"/>
                <w:szCs w:val="22"/>
                <w:lang w:val="en"/>
              </w:rPr>
              <w:t xml:space="preserve"> requires the Food Growing Strategy to show </w:t>
            </w:r>
            <w:r w:rsidRPr="00840351">
              <w:rPr>
                <w:rStyle w:val="legds2"/>
                <w:rFonts w:cs="Arial"/>
                <w:sz w:val="22"/>
                <w:szCs w:val="22"/>
                <w:lang w:val="en"/>
              </w:rPr>
              <w:t>how the authority intends to increase growing sites in communities which experience socio-economic disadvantage. This have a po</w:t>
            </w:r>
            <w:r w:rsidR="005F40CF" w:rsidRPr="00840351">
              <w:rPr>
                <w:rStyle w:val="legds2"/>
                <w:rFonts w:cs="Arial"/>
                <w:sz w:val="22"/>
                <w:szCs w:val="22"/>
                <w:lang w:val="en"/>
              </w:rPr>
              <w:t>sitive impact on all citizens in these areas</w:t>
            </w:r>
            <w:r w:rsidRPr="00840351">
              <w:rPr>
                <w:rStyle w:val="legds2"/>
                <w:rFonts w:cs="Arial"/>
                <w:sz w:val="22"/>
                <w:szCs w:val="22"/>
                <w:lang w:val="en"/>
              </w:rPr>
              <w:t>.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874EAF" w:rsidTr="00563762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5"/>
            <w:shd w:val="clear" w:color="auto" w:fill="auto"/>
          </w:tcPr>
          <w:p w:rsidR="00874EAF" w:rsidRPr="00CD7794" w:rsidRDefault="00874EAF" w:rsidP="005F40CF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088" w:type="dxa"/>
            <w:shd w:val="clear" w:color="auto" w:fill="CCFFFF"/>
            <w:vAlign w:val="center"/>
          </w:tcPr>
          <w:p w:rsidR="00163A6F" w:rsidRPr="00AE6831" w:rsidRDefault="00163A6F" w:rsidP="0070176D">
            <w:pPr>
              <w:rPr>
                <w:b/>
                <w:sz w:val="22"/>
                <w:szCs w:val="22"/>
              </w:rPr>
            </w:pPr>
            <w:r w:rsidRPr="00AE6831">
              <w:rPr>
                <w:b/>
                <w:sz w:val="22"/>
                <w:szCs w:val="22"/>
              </w:rPr>
              <w:t>RACE*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  <w:tc>
          <w:tcPr>
            <w:tcW w:w="3056" w:type="dxa"/>
            <w:vAlign w:val="center"/>
          </w:tcPr>
          <w:p w:rsidR="00583F2E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88" w:type="dxa"/>
            <w:vMerge w:val="restart"/>
            <w:shd w:val="clear" w:color="auto" w:fill="CCFFFF"/>
          </w:tcPr>
          <w:p w:rsidR="00163A6F" w:rsidRDefault="00163A6F" w:rsidP="00781F6A">
            <w:pPr>
              <w:rPr>
                <w:i/>
                <w:sz w:val="20"/>
              </w:rPr>
            </w:pPr>
            <w:r w:rsidRPr="00B55E10">
              <w:rPr>
                <w:i/>
                <w:sz w:val="20"/>
              </w:rPr>
              <w:t xml:space="preserve">Further information on the breakdown below each of these headings, as per census, is available </w:t>
            </w:r>
            <w:hyperlink r:id="rId16" w:history="1">
              <w:r w:rsidRPr="00B55E10">
                <w:rPr>
                  <w:rStyle w:val="Hyperlink"/>
                  <w:i/>
                  <w:sz w:val="20"/>
                </w:rPr>
                <w:t>here.</w:t>
              </w:r>
            </w:hyperlink>
          </w:p>
          <w:p w:rsidR="00163A6F" w:rsidRDefault="00163A6F" w:rsidP="00781F6A">
            <w:pPr>
              <w:rPr>
                <w:i/>
                <w:sz w:val="20"/>
              </w:rPr>
            </w:pPr>
          </w:p>
          <w:p w:rsidR="00163A6F" w:rsidRPr="00FC051D" w:rsidRDefault="00163A6F" w:rsidP="00781F6A">
            <w:pPr>
              <w:rPr>
                <w:b/>
                <w:i/>
                <w:sz w:val="20"/>
              </w:rPr>
            </w:pPr>
            <w:r w:rsidRPr="00FC051D">
              <w:rPr>
                <w:i/>
                <w:sz w:val="20"/>
              </w:rPr>
              <w:t>For example Asian includes Chinese, Pakistani and Indian etc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Mixed or Multiple Ethnic Groups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FC051D">
            <w:pPr>
              <w:rPr>
                <w:sz w:val="22"/>
              </w:rPr>
            </w:pPr>
            <w:r>
              <w:rPr>
                <w:sz w:val="22"/>
              </w:rPr>
              <w:t>Asian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 xml:space="preserve">Caribbean or Black 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Other Ethnic Group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874EAF" w:rsidTr="00563762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5"/>
            <w:shd w:val="clear" w:color="auto" w:fill="auto"/>
          </w:tcPr>
          <w:p w:rsidR="00874EAF" w:rsidRPr="00CD7794" w:rsidRDefault="00874EAF" w:rsidP="005F40CF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DISABILITY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Physical disability</w:t>
            </w:r>
          </w:p>
        </w:tc>
        <w:tc>
          <w:tcPr>
            <w:tcW w:w="3056" w:type="dxa"/>
          </w:tcPr>
          <w:p w:rsidR="00163A6F" w:rsidRDefault="005F40CF" w:rsidP="00563762">
            <w:pPr>
              <w:rPr>
                <w:sz w:val="22"/>
              </w:rPr>
            </w:pPr>
            <w:r>
              <w:rPr>
                <w:sz w:val="22"/>
              </w:rPr>
              <w:t>Food growing or gardening has been shown to improve physical health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E57E90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shd w:val="clear" w:color="auto" w:fill="CCFFFF"/>
          </w:tcPr>
          <w:p w:rsidR="00163A6F" w:rsidRPr="0070176D" w:rsidRDefault="00163A6F" w:rsidP="00781F6A">
            <w:pPr>
              <w:rPr>
                <w:i/>
                <w:sz w:val="20"/>
              </w:rPr>
            </w:pPr>
            <w:bookmarkStart w:id="0" w:name="_GoBack" w:colFirst="2" w:colLast="2"/>
            <w:r w:rsidRPr="0070176D">
              <w:rPr>
                <w:i/>
                <w:sz w:val="20"/>
              </w:rPr>
              <w:t xml:space="preserve">A definition of disability under the Equality Act 2010 is available </w:t>
            </w:r>
            <w:hyperlink r:id="rId17" w:history="1">
              <w:r w:rsidRPr="0070176D">
                <w:rPr>
                  <w:rStyle w:val="Hyperlink"/>
                  <w:i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</w:tcPr>
          <w:p w:rsidR="00163A6F" w:rsidRDefault="00163A6F" w:rsidP="00781F6A">
            <w:pPr>
              <w:rPr>
                <w:sz w:val="22"/>
              </w:rPr>
            </w:pPr>
            <w:r>
              <w:rPr>
                <w:sz w:val="22"/>
              </w:rPr>
              <w:t>Sensory Impairment</w:t>
            </w:r>
          </w:p>
          <w:p w:rsidR="00163A6F" w:rsidRDefault="00163A6F" w:rsidP="00781F6A">
            <w:pPr>
              <w:rPr>
                <w:sz w:val="22"/>
              </w:rPr>
            </w:pPr>
            <w:r>
              <w:rPr>
                <w:sz w:val="22"/>
              </w:rPr>
              <w:t>(sight, hearing, )</w:t>
            </w:r>
          </w:p>
        </w:tc>
        <w:tc>
          <w:tcPr>
            <w:tcW w:w="3056" w:type="dxa"/>
            <w:vAlign w:val="center"/>
          </w:tcPr>
          <w:p w:rsidR="00163A6F" w:rsidRDefault="00583F2E" w:rsidP="00E57E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bookmarkEnd w:id="0"/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 xml:space="preserve">Mental Health </w:t>
            </w:r>
          </w:p>
        </w:tc>
        <w:tc>
          <w:tcPr>
            <w:tcW w:w="3056" w:type="dxa"/>
          </w:tcPr>
          <w:p w:rsidR="00163A6F" w:rsidRDefault="002A06B0" w:rsidP="00563762">
            <w:pPr>
              <w:rPr>
                <w:sz w:val="22"/>
              </w:rPr>
            </w:pPr>
            <w:r>
              <w:rPr>
                <w:sz w:val="22"/>
              </w:rPr>
              <w:t>It is increasingly recognised that there is a multitude of mental health benefits to be gained from food growing</w:t>
            </w:r>
            <w:r w:rsidR="00275AE9">
              <w:rPr>
                <w:sz w:val="22"/>
              </w:rPr>
              <w:t xml:space="preserve"> and the social interaction that it encourages and facilitates.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88" w:type="dxa"/>
            <w:vMerge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Learning Disability</w:t>
            </w:r>
          </w:p>
        </w:tc>
        <w:tc>
          <w:tcPr>
            <w:tcW w:w="3056" w:type="dxa"/>
          </w:tcPr>
          <w:p w:rsidR="00163A6F" w:rsidRDefault="002A06B0" w:rsidP="00563762">
            <w:pPr>
              <w:rPr>
                <w:sz w:val="22"/>
              </w:rPr>
            </w:pPr>
            <w:r>
              <w:rPr>
                <w:sz w:val="22"/>
              </w:rPr>
              <w:t>It is increasingly recognised that there are many benefits to be gained from food growing for individuals with a learning disability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LGBT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3056" w:type="dxa"/>
            <w:vAlign w:val="center"/>
          </w:tcPr>
          <w:p w:rsidR="00163A6F" w:rsidRDefault="00583F2E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874EAF" w:rsidTr="00563762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5"/>
            <w:shd w:val="clear" w:color="auto" w:fill="auto"/>
            <w:vAlign w:val="center"/>
          </w:tcPr>
          <w:p w:rsidR="00874EAF" w:rsidRPr="00CD7794" w:rsidRDefault="00874EAF" w:rsidP="005F40CF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AGE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Older People (60 +)</w:t>
            </w:r>
          </w:p>
        </w:tc>
        <w:tc>
          <w:tcPr>
            <w:tcW w:w="3056" w:type="dxa"/>
          </w:tcPr>
          <w:p w:rsidR="00163A6F" w:rsidRDefault="002A06B0" w:rsidP="00563762">
            <w:pPr>
              <w:rPr>
                <w:sz w:val="22"/>
              </w:rPr>
            </w:pPr>
            <w:r>
              <w:rPr>
                <w:sz w:val="22"/>
              </w:rPr>
              <w:t xml:space="preserve">Food growing is recognised as </w:t>
            </w:r>
            <w:r w:rsidR="00403FA5">
              <w:rPr>
                <w:sz w:val="22"/>
              </w:rPr>
              <w:t xml:space="preserve">a </w:t>
            </w:r>
            <w:r w:rsidR="000F279B">
              <w:rPr>
                <w:sz w:val="22"/>
              </w:rPr>
              <w:t>disproportionately popular</w:t>
            </w:r>
            <w:r>
              <w:rPr>
                <w:sz w:val="22"/>
              </w:rPr>
              <w:t xml:space="preserve"> activity with older people</w:t>
            </w:r>
            <w:r w:rsidR="00403FA5">
              <w:rPr>
                <w:sz w:val="22"/>
              </w:rPr>
              <w:t xml:space="preserve"> but growing has many opportunities for intergenerational co-operation.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Younger People (16-25)</w:t>
            </w:r>
          </w:p>
        </w:tc>
        <w:tc>
          <w:tcPr>
            <w:tcW w:w="3056" w:type="dxa"/>
          </w:tcPr>
          <w:p w:rsidR="00470B96" w:rsidRDefault="00470B96" w:rsidP="00563762">
            <w:pPr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</w:tcPr>
          <w:p w:rsidR="00163A6F" w:rsidRPr="00563762" w:rsidRDefault="005F40CF" w:rsidP="005F40CF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Children (0-16)</w:t>
            </w:r>
          </w:p>
        </w:tc>
        <w:tc>
          <w:tcPr>
            <w:tcW w:w="3056" w:type="dxa"/>
          </w:tcPr>
          <w:p w:rsidR="00163A6F" w:rsidRDefault="002A06B0" w:rsidP="00563762">
            <w:pPr>
              <w:rPr>
                <w:sz w:val="22"/>
              </w:rPr>
            </w:pPr>
            <w:r>
              <w:rPr>
                <w:sz w:val="22"/>
              </w:rPr>
              <w:t>Food growing</w:t>
            </w:r>
            <w:r w:rsidR="000F279B">
              <w:rPr>
                <w:sz w:val="22"/>
              </w:rPr>
              <w:t>,</w:t>
            </w:r>
            <w:r>
              <w:rPr>
                <w:sz w:val="22"/>
              </w:rPr>
              <w:t xml:space="preserve"> as part of outdoor education</w:t>
            </w:r>
            <w:r w:rsidR="000F279B">
              <w:rPr>
                <w:sz w:val="22"/>
              </w:rPr>
              <w:t>,</w:t>
            </w:r>
            <w:r>
              <w:rPr>
                <w:sz w:val="22"/>
              </w:rPr>
              <w:t xml:space="preserve"> is increasingly recognised as have a multitude of benefits.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874EAF" w:rsidTr="00563762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5"/>
            <w:shd w:val="clear" w:color="auto" w:fill="auto"/>
            <w:vAlign w:val="center"/>
          </w:tcPr>
          <w:p w:rsidR="00874EAF" w:rsidRPr="00CD7794" w:rsidRDefault="00874EAF" w:rsidP="005F40CF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Pr="0070176D" w:rsidRDefault="00163A6F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 xml:space="preserve">MARRIAGE </w:t>
            </w:r>
          </w:p>
          <w:p w:rsidR="00163A6F" w:rsidRPr="00534BCA" w:rsidRDefault="00163A6F" w:rsidP="00781F6A">
            <w:pPr>
              <w:rPr>
                <w:rFonts w:cs="Arial"/>
                <w:b/>
                <w:szCs w:val="24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&amp; CIVIL PARTNERSHIP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874EAF" w:rsidTr="005637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79" w:type="dxa"/>
            <w:gridSpan w:val="5"/>
            <w:shd w:val="clear" w:color="auto" w:fill="auto"/>
            <w:vAlign w:val="center"/>
          </w:tcPr>
          <w:p w:rsidR="00874EAF" w:rsidRPr="00CD7794" w:rsidRDefault="00874EAF" w:rsidP="00470B96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Pr="0070176D" w:rsidRDefault="00163A6F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PREGNANCY &amp; MATERNITY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  <w:tr w:rsidR="00163A6F" w:rsidRPr="00CD7794" w:rsidTr="005637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79" w:type="dxa"/>
            <w:gridSpan w:val="5"/>
            <w:shd w:val="clear" w:color="auto" w:fill="auto"/>
            <w:vAlign w:val="center"/>
          </w:tcPr>
          <w:p w:rsidR="00163A6F" w:rsidRPr="00CD7794" w:rsidRDefault="00163A6F" w:rsidP="005F40CF">
            <w:pPr>
              <w:jc w:val="center"/>
              <w:rPr>
                <w:sz w:val="18"/>
                <w:szCs w:val="18"/>
              </w:rPr>
            </w:pPr>
          </w:p>
        </w:tc>
      </w:tr>
      <w:tr w:rsidR="00163A6F" w:rsidTr="00563762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Default="00163A6F" w:rsidP="00781F6A">
            <w:pPr>
              <w:rPr>
                <w:sz w:val="22"/>
              </w:rPr>
            </w:pPr>
            <w:r w:rsidRPr="00534BCA">
              <w:rPr>
                <w:b/>
                <w:sz w:val="22"/>
              </w:rPr>
              <w:t>RELIGION &amp; BELIEF</w:t>
            </w:r>
            <w:r>
              <w:rPr>
                <w:sz w:val="22"/>
              </w:rPr>
              <w:t>**</w:t>
            </w:r>
          </w:p>
          <w:p w:rsidR="00163A6F" w:rsidRPr="00CD7794" w:rsidRDefault="00163A6F" w:rsidP="00781F6A">
            <w:pPr>
              <w:rPr>
                <w:b/>
                <w:sz w:val="20"/>
              </w:rPr>
            </w:pPr>
            <w:r w:rsidRPr="00CD7794">
              <w:rPr>
                <w:sz w:val="20"/>
              </w:rPr>
              <w:t xml:space="preserve">A list of religions used in the census is available </w:t>
            </w:r>
            <w:hyperlink r:id="rId18" w:history="1">
              <w:r w:rsidRPr="00CD7794">
                <w:rPr>
                  <w:rStyle w:val="Hyperlink"/>
                  <w:sz w:val="20"/>
                </w:rPr>
                <w:t>he</w:t>
              </w:r>
              <w:r w:rsidRPr="00CD7794">
                <w:rPr>
                  <w:rStyle w:val="Hyperlink"/>
                  <w:sz w:val="20"/>
                </w:rPr>
                <w:t>r</w:t>
              </w:r>
              <w:r w:rsidRPr="00CD7794">
                <w:rPr>
                  <w:rStyle w:val="Hyperlink"/>
                  <w:sz w:val="20"/>
                </w:rPr>
                <w:t>e.</w:t>
              </w:r>
            </w:hyperlink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See note</w:t>
            </w:r>
          </w:p>
        </w:tc>
        <w:tc>
          <w:tcPr>
            <w:tcW w:w="3056" w:type="dxa"/>
            <w:vAlign w:val="center"/>
          </w:tcPr>
          <w:p w:rsidR="00470B96" w:rsidRDefault="00470B96" w:rsidP="00563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07" w:type="dxa"/>
            <w:vAlign w:val="center"/>
          </w:tcPr>
          <w:p w:rsidR="00163A6F" w:rsidRDefault="00163A6F" w:rsidP="00563762">
            <w:pPr>
              <w:jc w:val="center"/>
              <w:rPr>
                <w:sz w:val="22"/>
              </w:rPr>
            </w:pPr>
          </w:p>
        </w:tc>
        <w:tc>
          <w:tcPr>
            <w:tcW w:w="4706" w:type="dxa"/>
            <w:shd w:val="clear" w:color="auto" w:fill="FFCC99"/>
            <w:vAlign w:val="center"/>
          </w:tcPr>
          <w:p w:rsidR="00163A6F" w:rsidRPr="00563762" w:rsidRDefault="005F40CF" w:rsidP="00563762">
            <w:pPr>
              <w:jc w:val="center"/>
              <w:rPr>
                <w:sz w:val="28"/>
                <w:szCs w:val="28"/>
              </w:rPr>
            </w:pPr>
            <w:r w:rsidRPr="00563762">
              <w:rPr>
                <w:sz w:val="28"/>
                <w:szCs w:val="28"/>
              </w:rPr>
              <w:t>“</w:t>
            </w:r>
          </w:p>
        </w:tc>
      </w:tr>
    </w:tbl>
    <w:p w:rsidR="00AE6831" w:rsidRDefault="00781F6A" w:rsidP="00563762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AE6831">
        <w:rPr>
          <w:sz w:val="18"/>
          <w:szCs w:val="18"/>
        </w:rPr>
        <w:t>For reasons of brevity race is not an exhaustive list, and therefore please feel free to augment the list above where appropriate; to reflect the complexity of other racial identities.</w:t>
      </w:r>
    </w:p>
    <w:p w:rsidR="00163A6F" w:rsidRDefault="00AE6831" w:rsidP="00563762">
      <w:p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781F6A">
        <w:rPr>
          <w:sz w:val="18"/>
          <w:szCs w:val="18"/>
        </w:rPr>
        <w:t>There are too many faith groups to provide a list, therefore, please input the faith group e.g. Muslims, Buddhists, Jews, Christians, Hindus, etc.  Consider the different faith groups individually when consider</w:t>
      </w:r>
      <w:r w:rsidR="00405005">
        <w:rPr>
          <w:sz w:val="18"/>
          <w:szCs w:val="18"/>
        </w:rPr>
        <w:t>ing positive or negative impacts</w:t>
      </w:r>
      <w:r w:rsidR="0070176D">
        <w:rPr>
          <w:sz w:val="18"/>
          <w:szCs w:val="18"/>
        </w:rPr>
        <w:t xml:space="preserve">. </w:t>
      </w:r>
      <w:r w:rsidR="0070176D" w:rsidRPr="0070176D">
        <w:rPr>
          <w:sz w:val="18"/>
          <w:szCs w:val="18"/>
        </w:rPr>
        <w:t xml:space="preserve">A list of religions used in the census is available </w:t>
      </w:r>
      <w:hyperlink r:id="rId19" w:history="1">
        <w:r w:rsidR="0070176D" w:rsidRPr="0070176D">
          <w:rPr>
            <w:rStyle w:val="Hyperlink"/>
            <w:sz w:val="18"/>
            <w:szCs w:val="18"/>
          </w:rPr>
          <w:t>here.</w:t>
        </w:r>
      </w:hyperlink>
    </w:p>
    <w:p w:rsidR="00563762" w:rsidRPr="00563762" w:rsidRDefault="00563762" w:rsidP="00405005">
      <w:pPr>
        <w:ind w:left="360"/>
        <w:rPr>
          <w:sz w:val="16"/>
          <w:szCs w:val="16"/>
        </w:rPr>
      </w:pPr>
    </w:p>
    <w:p w:rsidR="00163A6F" w:rsidRPr="00711922" w:rsidRDefault="00711922" w:rsidP="00405005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 w:rsidR="00981B6F">
        <w:rPr>
          <w:sz w:val="32"/>
          <w:szCs w:val="32"/>
        </w:rPr>
        <w:t>Protected Characteristics Most I</w:t>
      </w:r>
      <w:r w:rsidRPr="00711922">
        <w:rPr>
          <w:sz w:val="32"/>
          <w:szCs w:val="32"/>
        </w:rPr>
        <w:t>mpacted</w:t>
      </w:r>
    </w:p>
    <w:tbl>
      <w:tblPr>
        <w:tblpPr w:leftFromText="180" w:rightFromText="180" w:vertAnchor="text" w:horzAnchor="margin" w:tblpX="468" w:tblpY="151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9"/>
      </w:tblGrid>
      <w:tr w:rsidR="00163A6F" w:rsidRPr="00CD7794" w:rsidTr="005637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163A6F" w:rsidRDefault="00163A6F" w:rsidP="005427A5">
            <w:pPr>
              <w:rPr>
                <w:sz w:val="18"/>
                <w:szCs w:val="18"/>
              </w:rPr>
            </w:pPr>
          </w:p>
          <w:p w:rsidR="00711922" w:rsidRDefault="00E76EB4" w:rsidP="005427A5">
            <w:pPr>
              <w:rPr>
                <w:sz w:val="18"/>
                <w:szCs w:val="18"/>
              </w:rPr>
            </w:pPr>
            <w:r w:rsidRPr="00E76EB4">
              <w:rPr>
                <w:sz w:val="18"/>
                <w:szCs w:val="18"/>
              </w:rPr>
              <w:t>Being part of a growing group where individual knowledge and experiences can benefit fellow growers can break down barriers between different members f</w:t>
            </w:r>
            <w:r>
              <w:rPr>
                <w:sz w:val="18"/>
                <w:szCs w:val="18"/>
              </w:rPr>
              <w:t>rom any protected characteristic. As such impacts would be on all protected characteristics.</w:t>
            </w: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711922" w:rsidRPr="00563762" w:rsidRDefault="00711922" w:rsidP="00711922">
      <w:pPr>
        <w:ind w:left="360"/>
        <w:rPr>
          <w:sz w:val="16"/>
          <w:szCs w:val="16"/>
        </w:rPr>
      </w:pPr>
    </w:p>
    <w:p w:rsidR="00163A6F" w:rsidRPr="00711922" w:rsidRDefault="00711922" w:rsidP="0071192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Socio Economic Impacts</w:t>
      </w:r>
    </w:p>
    <w:tbl>
      <w:tblPr>
        <w:tblpPr w:leftFromText="180" w:rightFromText="180" w:vertAnchor="text" w:horzAnchor="margin" w:tblpX="468" w:tblpY="151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9"/>
      </w:tblGrid>
      <w:tr w:rsidR="00163A6F" w:rsidRPr="00CD7794" w:rsidTr="005637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163A6F" w:rsidRDefault="00163A6F" w:rsidP="005427A5">
            <w:pPr>
              <w:rPr>
                <w:sz w:val="18"/>
                <w:szCs w:val="18"/>
              </w:rPr>
            </w:pPr>
          </w:p>
          <w:p w:rsidR="00711922" w:rsidRDefault="002A06B0" w:rsidP="005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Food Growing Strategy </w:t>
            </w:r>
            <w:r w:rsidR="004567FF">
              <w:rPr>
                <w:sz w:val="18"/>
                <w:szCs w:val="18"/>
              </w:rPr>
              <w:t>is required by legislation to consider its impact</w:t>
            </w:r>
            <w:r w:rsidR="004567FF">
              <w:t xml:space="preserve"> </w:t>
            </w:r>
            <w:r w:rsidR="004567FF" w:rsidRPr="004567FF">
              <w:rPr>
                <w:sz w:val="18"/>
                <w:szCs w:val="18"/>
              </w:rPr>
              <w:t>in communities which experience socio-economic disadvantage</w:t>
            </w:r>
            <w:r w:rsidR="00275AE9">
              <w:rPr>
                <w:sz w:val="18"/>
                <w:szCs w:val="18"/>
              </w:rPr>
              <w:t xml:space="preserve"> as it is recognised that there would be a multitude of benefits to result from local food growing opportunities.</w:t>
            </w: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711922" w:rsidRPr="00563762" w:rsidRDefault="00711922" w:rsidP="00563762">
      <w:pPr>
        <w:ind w:left="360"/>
        <w:rPr>
          <w:sz w:val="16"/>
          <w:szCs w:val="16"/>
        </w:rPr>
      </w:pPr>
    </w:p>
    <w:p w:rsidR="00711922" w:rsidRDefault="00711922" w:rsidP="0056376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Human Rights Impacts</w:t>
      </w:r>
    </w:p>
    <w:tbl>
      <w:tblPr>
        <w:tblpPr w:leftFromText="180" w:rightFromText="180" w:vertAnchor="text" w:horzAnchor="margin" w:tblpX="468" w:tblpY="151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9"/>
      </w:tblGrid>
      <w:tr w:rsidR="00711922" w:rsidRPr="00CD7794" w:rsidTr="005637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711922" w:rsidRDefault="00711922" w:rsidP="00405005">
      <w:pPr>
        <w:ind w:left="360"/>
        <w:rPr>
          <w:sz w:val="18"/>
          <w:szCs w:val="18"/>
        </w:rPr>
      </w:pPr>
    </w:p>
    <w:p w:rsidR="00711922" w:rsidRPr="00781F6A" w:rsidRDefault="00711922" w:rsidP="00405005">
      <w:pPr>
        <w:ind w:left="360"/>
        <w:rPr>
          <w:sz w:val="18"/>
          <w:szCs w:val="18"/>
        </w:rPr>
        <w:sectPr w:rsidR="00711922" w:rsidRPr="00781F6A" w:rsidSect="002101EA">
          <w:pgSz w:w="16838" w:h="11906" w:orient="landscape" w:code="9"/>
          <w:pgMar w:top="851" w:right="426" w:bottom="851" w:left="851" w:header="720" w:footer="340" w:gutter="0"/>
          <w:cols w:space="720"/>
          <w:docGrid w:linePitch="326"/>
        </w:sectPr>
      </w:pPr>
    </w:p>
    <w:p w:rsidR="00CE1909" w:rsidRPr="00B04CFA" w:rsidRDefault="007073B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 xml:space="preserve">OUTCOMES, </w:t>
      </w:r>
      <w:r w:rsidR="00CE1909" w:rsidRPr="00B04CFA">
        <w:rPr>
          <w:sz w:val="36"/>
          <w:szCs w:val="36"/>
        </w:rPr>
        <w:t>ACTION</w:t>
      </w:r>
      <w:r w:rsidRPr="00B04CFA">
        <w:rPr>
          <w:sz w:val="36"/>
          <w:szCs w:val="36"/>
        </w:rPr>
        <w:t xml:space="preserve"> &amp; PUBLIC REPORTING</w:t>
      </w:r>
    </w:p>
    <w:p w:rsidR="00460F93" w:rsidRPr="00E57E90" w:rsidRDefault="00460F93" w:rsidP="00460F93">
      <w:pPr>
        <w:rPr>
          <w:sz w:val="12"/>
          <w:szCs w:val="12"/>
        </w:rPr>
      </w:pPr>
    </w:p>
    <w:tbl>
      <w:tblPr>
        <w:tblW w:w="14929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6"/>
        <w:gridCol w:w="2693"/>
      </w:tblGrid>
      <w:tr w:rsidR="00460F93" w:rsidRPr="00ED47F5" w:rsidTr="00563762">
        <w:tblPrEx>
          <w:tblCellMar>
            <w:top w:w="0" w:type="dxa"/>
            <w:bottom w:w="0" w:type="dxa"/>
          </w:tblCellMar>
        </w:tblPrEx>
        <w:tc>
          <w:tcPr>
            <w:tcW w:w="12236" w:type="dxa"/>
            <w:tcBorders>
              <w:bottom w:val="single" w:sz="4" w:space="0" w:color="auto"/>
            </w:tcBorders>
            <w:shd w:val="clear" w:color="auto" w:fill="D9D9D9"/>
          </w:tcPr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</w:p>
          <w:p w:rsidR="00460F93" w:rsidRPr="002101EA" w:rsidRDefault="00460F93" w:rsidP="002101EA">
            <w:pPr>
              <w:jc w:val="center"/>
              <w:rPr>
                <w:b/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>Screening Outcome</w:t>
            </w:r>
          </w:p>
        </w:tc>
        <w:tc>
          <w:tcPr>
            <w:tcW w:w="2693" w:type="dxa"/>
            <w:shd w:val="clear" w:color="auto" w:fill="D9D9D9"/>
          </w:tcPr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 xml:space="preserve">Yes /No </w:t>
            </w:r>
          </w:p>
          <w:p w:rsidR="00CE4FCB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Or /</w:t>
            </w: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Not At This Stage</w:t>
            </w: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</w:p>
        </w:tc>
      </w:tr>
      <w:tr w:rsidR="00460F93" w:rsidTr="004B2E6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2236" w:type="dxa"/>
            <w:shd w:val="clear" w:color="auto" w:fill="CCFFFF"/>
            <w:vAlign w:val="center"/>
          </w:tcPr>
          <w:p w:rsidR="00460F93" w:rsidRPr="002101EA" w:rsidRDefault="00460F93" w:rsidP="004B2E6F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Was a significant level of negative impact arising from the project, policy or strategy identified?</w:t>
            </w:r>
          </w:p>
        </w:tc>
        <w:tc>
          <w:tcPr>
            <w:tcW w:w="2693" w:type="dxa"/>
            <w:vAlign w:val="center"/>
          </w:tcPr>
          <w:p w:rsidR="00E76EB4" w:rsidRPr="002101EA" w:rsidRDefault="00E76EB4" w:rsidP="004B2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60F93" w:rsidTr="004B2E6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23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60F93" w:rsidRPr="002101EA" w:rsidRDefault="00460F93" w:rsidP="004B2E6F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the project, policy or strategy require to be amended to have a positive impact?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76EB4" w:rsidRPr="002101EA" w:rsidRDefault="00E76EB4" w:rsidP="004B2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60F93" w:rsidTr="004B2E6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23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60F93" w:rsidRPr="002101EA" w:rsidRDefault="00460F93" w:rsidP="004B2E6F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a Full Impact Assessment need to be undertaken?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70B96" w:rsidRPr="002101EA" w:rsidRDefault="00470B96" w:rsidP="004B2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FE21D3" w:rsidRDefault="00FE21D3" w:rsidP="00460F93">
      <w:pPr>
        <w:ind w:firstLine="360"/>
        <w:rPr>
          <w:sz w:val="18"/>
          <w:szCs w:val="18"/>
        </w:rPr>
      </w:pPr>
    </w:p>
    <w:tbl>
      <w:tblPr>
        <w:tblW w:w="14929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0"/>
        <w:gridCol w:w="3544"/>
        <w:gridCol w:w="6095"/>
      </w:tblGrid>
      <w:tr w:rsidR="00460F93" w:rsidRPr="00ED47F5" w:rsidTr="004B2E6F">
        <w:tblPrEx>
          <w:tblCellMar>
            <w:top w:w="0" w:type="dxa"/>
            <w:bottom w:w="0" w:type="dxa"/>
          </w:tblCellMar>
        </w:tblPrEx>
        <w:tc>
          <w:tcPr>
            <w:tcW w:w="1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F93" w:rsidRPr="00E57E90" w:rsidRDefault="00460F93" w:rsidP="005427A5">
            <w:pPr>
              <w:rPr>
                <w:b/>
                <w:sz w:val="8"/>
                <w:szCs w:val="8"/>
              </w:rPr>
            </w:pPr>
          </w:p>
          <w:p w:rsidR="00460F93" w:rsidRPr="002101EA" w:rsidRDefault="00B04CFA" w:rsidP="002101EA">
            <w:pPr>
              <w:jc w:val="center"/>
              <w:rPr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 xml:space="preserve">Actions: </w:t>
            </w:r>
            <w:r w:rsidR="00460F93" w:rsidRPr="002101EA">
              <w:rPr>
                <w:b/>
                <w:sz w:val="36"/>
                <w:szCs w:val="36"/>
              </w:rPr>
              <w:t>Next Steps</w:t>
            </w:r>
          </w:p>
          <w:p w:rsidR="00460F93" w:rsidRPr="00460F93" w:rsidRDefault="00460F93" w:rsidP="002101EA">
            <w:pPr>
              <w:jc w:val="center"/>
              <w:rPr>
                <w:sz w:val="16"/>
                <w:szCs w:val="16"/>
              </w:rPr>
            </w:pPr>
          </w:p>
          <w:p w:rsidR="00460F93" w:rsidRPr="00460F93" w:rsidRDefault="00460F93" w:rsidP="00E57E90">
            <w:pPr>
              <w:jc w:val="center"/>
              <w:rPr>
                <w:sz w:val="18"/>
                <w:szCs w:val="18"/>
              </w:rPr>
            </w:pPr>
            <w:r w:rsidRPr="00ED47F5">
              <w:rPr>
                <w:sz w:val="18"/>
                <w:szCs w:val="18"/>
              </w:rPr>
              <w:t xml:space="preserve">(i.e. is there a strategic group that can monitor </w:t>
            </w:r>
            <w:r>
              <w:rPr>
                <w:sz w:val="18"/>
                <w:szCs w:val="18"/>
              </w:rPr>
              <w:t>any future</w:t>
            </w:r>
            <w:r w:rsidR="00B04CFA">
              <w:rPr>
                <w:sz w:val="18"/>
                <w:szCs w:val="18"/>
              </w:rPr>
              <w:t xml:space="preserve"> actions)</w:t>
            </w:r>
          </w:p>
        </w:tc>
      </w:tr>
      <w:tr w:rsidR="00460F93" w:rsidTr="004B2E6F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Further </w:t>
            </w:r>
            <w:r w:rsidRPr="00ED47F5">
              <w:rPr>
                <w:b/>
                <w:sz w:val="22"/>
              </w:rPr>
              <w:t>Action Required</w:t>
            </w:r>
            <w:r>
              <w:rPr>
                <w:b/>
                <w:sz w:val="22"/>
              </w:rPr>
              <w:t>/ Action To Be Undertaken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797EAC">
            <w:pPr>
              <w:rPr>
                <w:b/>
                <w:sz w:val="22"/>
              </w:rPr>
            </w:pPr>
          </w:p>
          <w:p w:rsidR="00460F93" w:rsidRDefault="00460F93" w:rsidP="00797EAC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>Lead Officer</w:t>
            </w:r>
            <w:r>
              <w:rPr>
                <w:b/>
                <w:sz w:val="22"/>
              </w:rPr>
              <w:t xml:space="preserve"> and/or</w:t>
            </w:r>
          </w:p>
          <w:p w:rsidR="00460F93" w:rsidRPr="00ED47F5" w:rsidRDefault="00460F93" w:rsidP="00797E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Strategic Group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Pr="00ED47F5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Timescale for Resolution of Negative Impact</w:t>
            </w:r>
            <w:r w:rsidR="00724573">
              <w:rPr>
                <w:b/>
                <w:sz w:val="22"/>
              </w:rPr>
              <w:t xml:space="preserve"> (s) </w:t>
            </w:r>
            <w:r>
              <w:rPr>
                <w:b/>
                <w:sz w:val="22"/>
              </w:rPr>
              <w:t>/ Delivery of Positive Impact</w:t>
            </w:r>
            <w:r w:rsidR="00724573">
              <w:rPr>
                <w:b/>
                <w:sz w:val="22"/>
              </w:rPr>
              <w:t xml:space="preserve"> (s)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</w:tr>
      <w:tr w:rsidR="00460F93" w:rsidTr="004B2E6F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290" w:type="dxa"/>
            <w:shd w:val="clear" w:color="auto" w:fill="auto"/>
          </w:tcPr>
          <w:p w:rsidR="00F43801" w:rsidRDefault="00F43801" w:rsidP="0021793B">
            <w:pPr>
              <w:rPr>
                <w:sz w:val="22"/>
              </w:rPr>
            </w:pPr>
          </w:p>
          <w:p w:rsidR="00DB4A5A" w:rsidRDefault="00F43801" w:rsidP="0021793B">
            <w:pPr>
              <w:rPr>
                <w:sz w:val="22"/>
              </w:rPr>
            </w:pPr>
            <w:r>
              <w:rPr>
                <w:sz w:val="22"/>
              </w:rPr>
              <w:t>The Community Empowerment Act 2015 requires allotment rules and regs to be updated and thus consulted upon and amended. This process will take forward the appropriate equality issues.</w:t>
            </w:r>
          </w:p>
          <w:p w:rsidR="00F43801" w:rsidRDefault="00F43801" w:rsidP="0021793B">
            <w:pPr>
              <w:rPr>
                <w:sz w:val="22"/>
              </w:rPr>
            </w:pPr>
          </w:p>
          <w:p w:rsidR="00E57E90" w:rsidRDefault="00E57E90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  <w:r>
              <w:rPr>
                <w:sz w:val="22"/>
              </w:rPr>
              <w:t>Monitoring of strategy impacts on SIMD areas</w:t>
            </w:r>
          </w:p>
          <w:p w:rsidR="00DB4A5A" w:rsidRDefault="00DB4A5A" w:rsidP="0021793B">
            <w:pPr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43801" w:rsidRDefault="00F43801" w:rsidP="00797EAC">
            <w:pPr>
              <w:rPr>
                <w:sz w:val="22"/>
              </w:rPr>
            </w:pPr>
          </w:p>
          <w:p w:rsidR="00460F93" w:rsidRDefault="00F43801" w:rsidP="00797EAC">
            <w:pPr>
              <w:rPr>
                <w:sz w:val="22"/>
              </w:rPr>
            </w:pPr>
            <w:r>
              <w:rPr>
                <w:sz w:val="22"/>
              </w:rPr>
              <w:t xml:space="preserve">Ken Harris </w:t>
            </w:r>
            <w:hyperlink r:id="rId20" w:history="1">
              <w:r w:rsidR="00483E51" w:rsidRPr="00433D66">
                <w:rPr>
                  <w:rStyle w:val="Hyperlink"/>
                  <w:sz w:val="22"/>
                </w:rPr>
                <w:t>kenneth.harris@glasgow.gov.uk</w:t>
              </w:r>
            </w:hyperlink>
            <w:r w:rsidR="00483E51">
              <w:rPr>
                <w:sz w:val="22"/>
              </w:rPr>
              <w:t xml:space="preserve"> </w:t>
            </w:r>
            <w:r>
              <w:rPr>
                <w:sz w:val="22"/>
              </w:rPr>
              <w:t>and Food Growing Strategy Team.</w:t>
            </w:r>
          </w:p>
          <w:p w:rsidR="00F43801" w:rsidRDefault="00F43801" w:rsidP="00797EAC">
            <w:pPr>
              <w:rPr>
                <w:sz w:val="22"/>
              </w:rPr>
            </w:pPr>
          </w:p>
          <w:p w:rsidR="00F43801" w:rsidRDefault="00F43801" w:rsidP="00797EAC">
            <w:pPr>
              <w:rPr>
                <w:sz w:val="22"/>
              </w:rPr>
            </w:pPr>
          </w:p>
          <w:p w:rsidR="00F43801" w:rsidRDefault="00483E51" w:rsidP="00797EAC">
            <w:pPr>
              <w:rPr>
                <w:sz w:val="22"/>
              </w:rPr>
            </w:pPr>
            <w:r w:rsidRPr="00483E51">
              <w:rPr>
                <w:sz w:val="22"/>
              </w:rPr>
              <w:t xml:space="preserve">Ken Harris </w:t>
            </w:r>
            <w:hyperlink r:id="rId21" w:history="1">
              <w:r w:rsidRPr="00433D66">
                <w:rPr>
                  <w:rStyle w:val="Hyperlink"/>
                  <w:sz w:val="22"/>
                </w:rPr>
                <w:t>kenneth.harris@glasgow.gov.uk</w:t>
              </w:r>
            </w:hyperlink>
            <w:r>
              <w:rPr>
                <w:sz w:val="22"/>
              </w:rPr>
              <w:t xml:space="preserve"> </w:t>
            </w:r>
            <w:r w:rsidRPr="00483E51">
              <w:rPr>
                <w:sz w:val="22"/>
              </w:rPr>
              <w:t xml:space="preserve"> and Food Growing Strategy Team.</w:t>
            </w:r>
          </w:p>
        </w:tc>
        <w:tc>
          <w:tcPr>
            <w:tcW w:w="6095" w:type="dxa"/>
            <w:shd w:val="clear" w:color="auto" w:fill="auto"/>
          </w:tcPr>
          <w:p w:rsidR="00460F93" w:rsidRDefault="00460F93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  <w:r>
              <w:rPr>
                <w:sz w:val="22"/>
              </w:rPr>
              <w:t>Consultation on allotment rules and regulations will take place in 2020.</w:t>
            </w:r>
          </w:p>
          <w:p w:rsidR="00F43801" w:rsidRDefault="00F43801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</w:p>
          <w:p w:rsidR="00F43801" w:rsidRDefault="00F43801" w:rsidP="0021793B">
            <w:pPr>
              <w:rPr>
                <w:sz w:val="22"/>
              </w:rPr>
            </w:pPr>
            <w:r>
              <w:rPr>
                <w:sz w:val="22"/>
              </w:rPr>
              <w:t>Monitoring will be ongoing and action, if required, will take place in financial year 2021/22.</w:t>
            </w:r>
          </w:p>
        </w:tc>
      </w:tr>
    </w:tbl>
    <w:p w:rsidR="00CE4FCB" w:rsidRDefault="00CE4FCB" w:rsidP="00E57E90">
      <w:pPr>
        <w:rPr>
          <w:sz w:val="22"/>
        </w:rPr>
      </w:pPr>
    </w:p>
    <w:p w:rsidR="00CE4FCB" w:rsidRPr="00CE4FCB" w:rsidRDefault="00CE4FCB" w:rsidP="00E5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/>
        <w:jc w:val="center"/>
        <w:rPr>
          <w:b/>
          <w:sz w:val="36"/>
          <w:szCs w:val="36"/>
        </w:rPr>
      </w:pPr>
      <w:r w:rsidRPr="00CE4FCB">
        <w:rPr>
          <w:b/>
          <w:sz w:val="36"/>
          <w:szCs w:val="36"/>
        </w:rPr>
        <w:t>Public Reporting</w:t>
      </w:r>
    </w:p>
    <w:p w:rsidR="00CE4FCB" w:rsidRDefault="00CE4FCB" w:rsidP="00E5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/>
        <w:rPr>
          <w:sz w:val="22"/>
        </w:rPr>
      </w:pPr>
    </w:p>
    <w:p w:rsidR="00CE4FCB" w:rsidRDefault="00CE4FCB" w:rsidP="00E5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/>
        <w:rPr>
          <w:sz w:val="22"/>
        </w:rPr>
      </w:pPr>
      <w:r>
        <w:rPr>
          <w:sz w:val="22"/>
        </w:rPr>
        <w:t xml:space="preserve">All completed EQIA Screenings are required to be publically available on the </w:t>
      </w:r>
      <w:hyperlink r:id="rId22" w:history="1">
        <w:r w:rsidRPr="00CE4FCB">
          <w:rPr>
            <w:rStyle w:val="Hyperlink"/>
            <w:sz w:val="22"/>
          </w:rPr>
          <w:t>Council EQIA Webpage</w:t>
        </w:r>
      </w:hyperlink>
      <w:r>
        <w:rPr>
          <w:sz w:val="22"/>
        </w:rPr>
        <w:t xml:space="preserve"> once they have been signed off by the relevant manager, and/or Strategic, Policy, or Operational Group. (See </w:t>
      </w:r>
      <w:hyperlink r:id="rId23" w:history="1">
        <w:r w:rsidRPr="00CE4FCB">
          <w:rPr>
            <w:rStyle w:val="Hyperlink"/>
            <w:sz w:val="22"/>
          </w:rPr>
          <w:t>EQIA Guidance</w:t>
        </w:r>
      </w:hyperlink>
      <w:r>
        <w:rPr>
          <w:sz w:val="22"/>
        </w:rPr>
        <w:t>: Pgs. 11-12)</w:t>
      </w:r>
    </w:p>
    <w:p w:rsidR="00CE1909" w:rsidRDefault="00CE1909" w:rsidP="00CE1909">
      <w:pPr>
        <w:rPr>
          <w:sz w:val="22"/>
        </w:rPr>
      </w:pPr>
    </w:p>
    <w:p w:rsidR="00CE1909" w:rsidRPr="00E57E90" w:rsidRDefault="00CE1909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E57E90">
        <w:rPr>
          <w:sz w:val="36"/>
          <w:szCs w:val="36"/>
        </w:rPr>
        <w:t>M</w:t>
      </w:r>
      <w:r w:rsidR="00716EFA" w:rsidRPr="00E57E90">
        <w:rPr>
          <w:sz w:val="36"/>
          <w:szCs w:val="36"/>
        </w:rPr>
        <w:t>ONITORING</w:t>
      </w:r>
      <w:r w:rsidRPr="00E57E90">
        <w:rPr>
          <w:sz w:val="36"/>
          <w:szCs w:val="36"/>
        </w:rPr>
        <w:t xml:space="preserve"> OUTCOMES</w:t>
      </w:r>
      <w:r w:rsidR="00697CBC" w:rsidRPr="00E57E90">
        <w:rPr>
          <w:sz w:val="36"/>
          <w:szCs w:val="36"/>
        </w:rPr>
        <w:t xml:space="preserve">, EVALUATION </w:t>
      </w:r>
      <w:r w:rsidR="005B5549" w:rsidRPr="00E57E90">
        <w:rPr>
          <w:sz w:val="36"/>
          <w:szCs w:val="36"/>
        </w:rPr>
        <w:t>&amp; REVIEW</w:t>
      </w:r>
    </w:p>
    <w:p w:rsidR="00A403D7" w:rsidRDefault="00A403D7" w:rsidP="00A403D7">
      <w:pPr>
        <w:ind w:firstLine="720"/>
        <w:rPr>
          <w:sz w:val="22"/>
        </w:rPr>
      </w:pPr>
    </w:p>
    <w:p w:rsidR="00CE1909" w:rsidRDefault="00CE1909" w:rsidP="005B5549">
      <w:pPr>
        <w:ind w:left="720"/>
        <w:rPr>
          <w:sz w:val="22"/>
        </w:rPr>
      </w:pPr>
      <w:r>
        <w:rPr>
          <w:sz w:val="22"/>
        </w:rPr>
        <w:t xml:space="preserve">The </w:t>
      </w:r>
      <w:r w:rsidR="005B5549">
        <w:rPr>
          <w:sz w:val="22"/>
        </w:rPr>
        <w:t>E</w:t>
      </w:r>
      <w:r>
        <w:rPr>
          <w:sz w:val="22"/>
        </w:rPr>
        <w:t xml:space="preserve">qualities </w:t>
      </w:r>
      <w:r w:rsidR="005B5549">
        <w:rPr>
          <w:sz w:val="22"/>
        </w:rPr>
        <w:t>I</w:t>
      </w:r>
      <w:r>
        <w:rPr>
          <w:sz w:val="22"/>
        </w:rPr>
        <w:t xml:space="preserve">mpact </w:t>
      </w:r>
      <w:r w:rsidR="005B5549">
        <w:rPr>
          <w:sz w:val="22"/>
        </w:rPr>
        <w:t>A</w:t>
      </w:r>
      <w:r>
        <w:rPr>
          <w:sz w:val="22"/>
        </w:rPr>
        <w:t>ssessment</w:t>
      </w:r>
      <w:r w:rsidR="00ED47F5">
        <w:rPr>
          <w:sz w:val="22"/>
        </w:rPr>
        <w:t xml:space="preserve"> </w:t>
      </w:r>
      <w:r w:rsidR="005B5549">
        <w:rPr>
          <w:sz w:val="22"/>
        </w:rPr>
        <w:t xml:space="preserve">(EQIA) </w:t>
      </w:r>
      <w:r w:rsidR="00ED47F5">
        <w:rPr>
          <w:sz w:val="22"/>
        </w:rPr>
        <w:t>screening</w:t>
      </w:r>
      <w:r>
        <w:rPr>
          <w:sz w:val="22"/>
        </w:rPr>
        <w:t xml:space="preserve"> is not an end in itself but the start of a continuous monitoring and review process.</w:t>
      </w:r>
      <w:r w:rsidR="005B5549">
        <w:rPr>
          <w:sz w:val="22"/>
        </w:rPr>
        <w:t xml:space="preserve"> The relevant Strategic, Policy, or Operational Group responsible for the delivery of </w:t>
      </w:r>
      <w:r w:rsidR="005B5549" w:rsidRPr="005B5549">
        <w:rPr>
          <w:sz w:val="22"/>
        </w:rPr>
        <w:t xml:space="preserve">the </w:t>
      </w:r>
      <w:r w:rsidR="005B5549" w:rsidRPr="005B5549">
        <w:rPr>
          <w:bCs/>
          <w:sz w:val="22"/>
          <w:szCs w:val="28"/>
        </w:rPr>
        <w:t>Policy, Project, Service Reform or Budget Option</w:t>
      </w:r>
      <w:r w:rsidR="005B5549">
        <w:rPr>
          <w:bCs/>
          <w:sz w:val="22"/>
          <w:szCs w:val="28"/>
        </w:rPr>
        <w:t xml:space="preserve">, is also responsible for monitoring and reviewing the EQIA Screening and any actions that may have been take to mitigate impacts. </w:t>
      </w:r>
    </w:p>
    <w:p w:rsidR="00ED47F5" w:rsidRDefault="00ED47F5" w:rsidP="005B5549">
      <w:pPr>
        <w:rPr>
          <w:sz w:val="22"/>
        </w:rPr>
      </w:pPr>
    </w:p>
    <w:p w:rsidR="00CE1909" w:rsidRDefault="00ED47F5" w:rsidP="00E57E90">
      <w:pPr>
        <w:ind w:left="720"/>
        <w:rPr>
          <w:sz w:val="22"/>
        </w:rPr>
      </w:pPr>
      <w:r>
        <w:rPr>
          <w:sz w:val="22"/>
        </w:rPr>
        <w:t>I</w:t>
      </w:r>
      <w:r w:rsidR="00CE1909">
        <w:rPr>
          <w:sz w:val="22"/>
        </w:rPr>
        <w:t xml:space="preserve">ndividual services are responsible for conducting the impact assessment for their area, staff from </w:t>
      </w:r>
      <w:r w:rsidRPr="00ED47F5">
        <w:rPr>
          <w:b/>
          <w:sz w:val="22"/>
        </w:rPr>
        <w:t xml:space="preserve">Corporate Strategic </w:t>
      </w:r>
      <w:r w:rsidR="00CE1909" w:rsidRPr="00ED47F5">
        <w:rPr>
          <w:b/>
          <w:sz w:val="22"/>
        </w:rPr>
        <w:t xml:space="preserve">Policy and </w:t>
      </w:r>
      <w:r w:rsidRPr="00ED47F5">
        <w:rPr>
          <w:b/>
          <w:sz w:val="22"/>
        </w:rPr>
        <w:t>Planning</w:t>
      </w:r>
      <w:r>
        <w:rPr>
          <w:sz w:val="22"/>
        </w:rPr>
        <w:t xml:space="preserve"> </w:t>
      </w:r>
      <w:r w:rsidR="00CE1909">
        <w:rPr>
          <w:sz w:val="22"/>
        </w:rPr>
        <w:t>will be available to provide support and guidance.</w:t>
      </w:r>
    </w:p>
    <w:p w:rsidR="00CE1909" w:rsidRDefault="00CE1909" w:rsidP="00CE1909">
      <w:pPr>
        <w:rPr>
          <w:sz w:val="22"/>
        </w:rPr>
      </w:pPr>
    </w:p>
    <w:p w:rsidR="00781F6A" w:rsidRDefault="00781F6A" w:rsidP="00CE1909">
      <w:pPr>
        <w:rPr>
          <w:sz w:val="22"/>
        </w:rPr>
        <w:sectPr w:rsidR="00781F6A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052239" w:rsidRPr="00CA2835" w:rsidRDefault="00052239" w:rsidP="00052239">
      <w:pPr>
        <w:pStyle w:val="Heading2"/>
        <w:rPr>
          <w:sz w:val="20"/>
        </w:rPr>
      </w:pPr>
      <w:r w:rsidRPr="00CA2835">
        <w:rPr>
          <w:sz w:val="20"/>
        </w:rPr>
        <w:t>Legislation</w:t>
      </w:r>
    </w:p>
    <w:p w:rsidR="00052239" w:rsidRPr="00CA2835" w:rsidRDefault="00052239" w:rsidP="00052239">
      <w:pPr>
        <w:rPr>
          <w:b/>
          <w:color w:val="231F20"/>
          <w:sz w:val="20"/>
          <w:lang w:val="en-US"/>
        </w:rPr>
      </w:pPr>
    </w:p>
    <w:p w:rsidR="00052239" w:rsidRPr="00CA2835" w:rsidRDefault="00052239" w:rsidP="00052239">
      <w:pPr>
        <w:rPr>
          <w:b/>
          <w:sz w:val="20"/>
        </w:rPr>
      </w:pPr>
      <w:r w:rsidRPr="00CA2835">
        <w:rPr>
          <w:b/>
          <w:sz w:val="20"/>
        </w:rPr>
        <w:t>Equality Act (2010) - the Equality Act 2010 (Specific Duties) Scotland Regulations 2012</w:t>
      </w:r>
    </w:p>
    <w:p w:rsidR="00052239" w:rsidRPr="00BF129F" w:rsidRDefault="00052239" w:rsidP="00BF129F">
      <w:pPr>
        <w:rPr>
          <w:sz w:val="20"/>
        </w:rPr>
      </w:pPr>
      <w:r w:rsidRPr="00BF129F">
        <w:rPr>
          <w:sz w:val="20"/>
        </w:rPr>
        <w:t xml:space="preserve">The 2010 Act consolidated previous equalities legislation to protect people from discrimination on grounds of: 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race</w:t>
      </w:r>
    </w:p>
    <w:p w:rsidR="00A229B4" w:rsidRPr="00CA2835" w:rsidRDefault="00052239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</w:t>
      </w:r>
      <w:r w:rsidR="00A229B4" w:rsidRPr="00CA2835">
        <w:rPr>
          <w:sz w:val="20"/>
        </w:rPr>
        <w:t xml:space="preserve"> </w:t>
      </w:r>
    </w:p>
    <w:p w:rsidR="00052239" w:rsidRPr="00CA2835" w:rsidRDefault="00A229B4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 xml:space="preserve">being a transsexual person (transsexuality is where someone has changed, is changing or has proposed changing their sex – called ‘gender reassignment’ in law) 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sexual orientation (whether being lesbian, gay, bisexual or heterosexual)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disability (or because of something connected with their disability)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religion or belief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having just had a baby or being pregnant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being married or in a civil partnership, and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age.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24" w:history="1">
        <w:r w:rsidR="007D5295" w:rsidRPr="00CA2835">
          <w:rPr>
            <w:rStyle w:val="Hyperlink"/>
            <w:sz w:val="20"/>
          </w:rPr>
          <w:t>Equality Act Guidance</w:t>
        </w:r>
      </w:hyperlink>
    </w:p>
    <w:p w:rsidR="00052239" w:rsidRPr="00CA2835" w:rsidRDefault="00052239" w:rsidP="00052239">
      <w:pPr>
        <w:rPr>
          <w:rFonts w:cs="Arial"/>
          <w:sz w:val="20"/>
        </w:rPr>
      </w:pPr>
    </w:p>
    <w:p w:rsidR="00052239" w:rsidRPr="00CA2835" w:rsidRDefault="00052239" w:rsidP="00052239">
      <w:pPr>
        <w:rPr>
          <w:rFonts w:cs="Arial"/>
          <w:sz w:val="20"/>
        </w:rPr>
      </w:pPr>
      <w:r w:rsidRPr="00CA2835">
        <w:rPr>
          <w:rFonts w:cs="Arial"/>
          <w:sz w:val="20"/>
        </w:rPr>
        <w:t xml:space="preserve">As noted the Equality Act 2010 simplifies the current laws and puts them all together in one piece of legislation. In addition the </w:t>
      </w:r>
      <w:r w:rsidRPr="00CA2835">
        <w:rPr>
          <w:b/>
          <w:sz w:val="20"/>
        </w:rPr>
        <w:t xml:space="preserve">Specific Duties (Scotland Regulations 2012) </w:t>
      </w:r>
      <w:r w:rsidRPr="00CA2835">
        <w:rPr>
          <w:rFonts w:cs="Arial"/>
          <w:sz w:val="20"/>
          <w:lang w:val="en"/>
        </w:rPr>
        <w:t>require local authorities to do the following to enable better performance of the general equality duty:</w:t>
      </w:r>
    </w:p>
    <w:p w:rsidR="00052239" w:rsidRPr="00CA2835" w:rsidRDefault="00052239" w:rsidP="00052239">
      <w:pPr>
        <w:rPr>
          <w:rFonts w:cs="Arial"/>
          <w:sz w:val="20"/>
          <w:lang w:val="en"/>
        </w:rPr>
      </w:pP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report progress on mainstreaming the general equality duty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equality outcomes and report progress in meeting those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impact assess new or revised policies and practices as well as making arrangements to review existing policies and practices</w:t>
      </w:r>
      <w:r w:rsidRPr="00CA2835">
        <w:rPr>
          <w:sz w:val="20"/>
        </w:rPr>
        <w:br/>
        <w:t>gather, use and publish employee information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gender pay gap information and an equal pay statement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consider adding equality award criteria and contract conditions in public procurement exercises.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25" w:history="1">
        <w:r w:rsidR="007D5295" w:rsidRPr="00CA2835">
          <w:rPr>
            <w:rStyle w:val="Hyperlink"/>
            <w:sz w:val="20"/>
          </w:rPr>
          <w:t>Understanding Scottish Specific Public Sector Equality Duties</w:t>
        </w:r>
      </w:hyperlink>
    </w:p>
    <w:p w:rsidR="00052239" w:rsidRPr="00CA2835" w:rsidRDefault="00052239" w:rsidP="00052239">
      <w:pPr>
        <w:rPr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7D5295" w:rsidRPr="00CA2835" w:rsidRDefault="00CA2835" w:rsidP="00052239">
      <w:pPr>
        <w:rPr>
          <w:b/>
          <w:sz w:val="20"/>
        </w:rPr>
      </w:pPr>
      <w:r w:rsidRPr="00CA2835">
        <w:rPr>
          <w:b/>
          <w:sz w:val="20"/>
        </w:rPr>
        <w:t>Fairer Scotland Duty</w:t>
      </w:r>
    </w:p>
    <w:p w:rsidR="00CA2835" w:rsidRDefault="00CA2835" w:rsidP="00052239">
      <w:pPr>
        <w:rPr>
          <w:sz w:val="20"/>
        </w:rPr>
      </w:pPr>
      <w:r>
        <w:rPr>
          <w:sz w:val="20"/>
        </w:rPr>
        <w:t xml:space="preserve">Authorities should also consider Socio-Economic Impacts where appropriate.  Further information: </w:t>
      </w:r>
      <w:hyperlink r:id="rId26" w:history="1">
        <w:r w:rsidRPr="00CA2835">
          <w:rPr>
            <w:rStyle w:val="Hyperlink"/>
            <w:sz w:val="20"/>
          </w:rPr>
          <w:t>Fairer Scotland Duty Interim Guidance</w:t>
        </w:r>
      </w:hyperlink>
    </w:p>
    <w:p w:rsidR="00CA2835" w:rsidRDefault="00CA2835" w:rsidP="00052239">
      <w:pPr>
        <w:rPr>
          <w:b/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E57E90" w:rsidRDefault="00052239" w:rsidP="00052239">
      <w:pPr>
        <w:rPr>
          <w:sz w:val="20"/>
        </w:rPr>
      </w:pPr>
      <w:r w:rsidRPr="00CA2835">
        <w:rPr>
          <w:b/>
          <w:sz w:val="20"/>
        </w:rPr>
        <w:t>Enforcement</w:t>
      </w:r>
    </w:p>
    <w:p w:rsidR="00B25BF3" w:rsidRPr="00CA2835" w:rsidRDefault="00052239" w:rsidP="00052239">
      <w:pPr>
        <w:rPr>
          <w:sz w:val="20"/>
        </w:rPr>
      </w:pPr>
      <w:r w:rsidRPr="00CA2835">
        <w:rPr>
          <w:sz w:val="20"/>
        </w:rPr>
        <w:t>Judicial review of an authority can be taken by any person, including the Equality and Human Rights Commission (EHRC) or a group of people, with an interest, in respect of alleged failure to comply with the general equality duty.  Only the EHRC can enforce the specific duties.   A failure to comply with the specific duties may however be used as evidence of a failure to comply with the general duty.</w:t>
      </w:r>
    </w:p>
    <w:sectPr w:rsidR="00B25BF3" w:rsidRPr="00CA2835" w:rsidSect="002101EA">
      <w:pgSz w:w="16838" w:h="11906" w:orient="landscape" w:code="9"/>
      <w:pgMar w:top="851" w:right="1178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5D" w:rsidRDefault="0086715D">
      <w:r>
        <w:separator/>
      </w:r>
    </w:p>
  </w:endnote>
  <w:endnote w:type="continuationSeparator" w:id="0">
    <w:p w:rsidR="0086715D" w:rsidRDefault="0086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A" w:rsidRDefault="00E57E90" w:rsidP="00E57E90">
    <w:pPr>
      <w:pStyle w:val="Footer"/>
      <w:jc w:val="center"/>
    </w:pPr>
    <w:fldSimple w:instr=" DOCPROPERTY bjFooterEvenPageDocProperty \* MERGEFORMAT " w:fldLock="1">
      <w:r w:rsidRPr="00E57E90">
        <w:rPr>
          <w:rFonts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A" w:rsidRDefault="00E57E90" w:rsidP="00E57E90">
    <w:pPr>
      <w:pStyle w:val="Footer"/>
      <w:jc w:val="center"/>
      <w:rPr>
        <w:snapToGrid w:val="0"/>
        <w:sz w:val="16"/>
      </w:rPr>
    </w:pPr>
    <w:r>
      <w:rPr>
        <w:snapToGrid w:val="0"/>
        <w:sz w:val="16"/>
      </w:rPr>
      <w:fldChar w:fldCharType="begin" w:fldLock="1"/>
    </w:r>
    <w:r>
      <w:rPr>
        <w:snapToGrid w:val="0"/>
        <w:sz w:val="16"/>
      </w:rPr>
      <w:instrText xml:space="preserve"> DOCPROPERTY bjFooterBothDocProperty \* MERGEFORMAT </w:instrText>
    </w:r>
    <w:r>
      <w:rPr>
        <w:snapToGrid w:val="0"/>
        <w:sz w:val="16"/>
      </w:rPr>
      <w:fldChar w:fldCharType="separate"/>
    </w:r>
    <w:r w:rsidRPr="00E57E90">
      <w:rPr>
        <w:rFonts w:cs="Arial"/>
        <w:b/>
        <w:snapToGrid w:val="0"/>
        <w:color w:val="000000"/>
      </w:rPr>
      <w:t>OFFICIAL</w:t>
    </w:r>
    <w:r>
      <w:rPr>
        <w:snapToGrid w:val="0"/>
        <w:sz w:val="16"/>
      </w:rPr>
      <w:fldChar w:fldCharType="end"/>
    </w:r>
  </w:p>
  <w:p w:rsidR="00797EAC" w:rsidRDefault="00797EAC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F43801">
      <w:rPr>
        <w:noProof/>
        <w:snapToGrid w:val="0"/>
        <w:sz w:val="16"/>
      </w:rPr>
      <w:t>\\cpfpsclc01fs\MyDocs$\harrisk\Documents\Desktop\Food Growing Strategy EQIA screening (004).doc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6F" w:rsidRDefault="004B2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5D" w:rsidRDefault="0086715D">
      <w:r>
        <w:separator/>
      </w:r>
    </w:p>
  </w:footnote>
  <w:footnote w:type="continuationSeparator" w:id="0">
    <w:p w:rsidR="0086715D" w:rsidRDefault="0086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A" w:rsidRDefault="00E57E90" w:rsidP="00E57E90">
    <w:pPr>
      <w:pStyle w:val="Header"/>
      <w:jc w:val="center"/>
    </w:pPr>
    <w:fldSimple w:instr=" DOCPROPERTY bjHeaderEvenPageDocProperty \* MERGEFORMAT " w:fldLock="1">
      <w:r w:rsidRPr="00E57E90">
        <w:rPr>
          <w:rFonts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A" w:rsidRDefault="00E57E90" w:rsidP="00E57E90">
    <w:pPr>
      <w:pStyle w:val="Header"/>
      <w:tabs>
        <w:tab w:val="left" w:pos="825"/>
        <w:tab w:val="right" w:pos="14547"/>
      </w:tabs>
      <w:jc w:val="center"/>
      <w:rPr>
        <w:b/>
        <w:noProof/>
      </w:rPr>
    </w:pPr>
    <w:r>
      <w:rPr>
        <w:b/>
        <w:noProof/>
      </w:rPr>
      <w:fldChar w:fldCharType="begin" w:fldLock="1"/>
    </w:r>
    <w:r>
      <w:rPr>
        <w:b/>
        <w:noProof/>
      </w:rPr>
      <w:instrText xml:space="preserve"> DOCPROPERTY bjHeaderBothDocProperty \* MERGEFORMAT </w:instrText>
    </w:r>
    <w:r>
      <w:rPr>
        <w:b/>
        <w:noProof/>
      </w:rPr>
      <w:fldChar w:fldCharType="separate"/>
    </w:r>
    <w:r w:rsidRPr="00E57E90">
      <w:rPr>
        <w:rFonts w:cs="Arial"/>
        <w:b/>
        <w:noProof/>
        <w:color w:val="000000"/>
      </w:rPr>
      <w:t>OFFICIAL</w:t>
    </w:r>
    <w:r>
      <w:rPr>
        <w:b/>
        <w:noProof/>
      </w:rPr>
      <w:fldChar w:fldCharType="end"/>
    </w:r>
  </w:p>
  <w:p w:rsidR="00797EAC" w:rsidRDefault="00797EAC" w:rsidP="00840351">
    <w:pPr>
      <w:pStyle w:val="Header"/>
      <w:tabs>
        <w:tab w:val="left" w:pos="825"/>
        <w:tab w:val="right" w:pos="14547"/>
      </w:tabs>
      <w:jc w:val="right"/>
      <w:rPr>
        <w:b/>
      </w:rPr>
    </w:pPr>
    <w:r>
      <w:rPr>
        <w:b/>
        <w:noProof/>
      </w:rPr>
      <w:t>EQIA Screening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6F" w:rsidRDefault="004B2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FC2"/>
    <w:multiLevelType w:val="hybridMultilevel"/>
    <w:tmpl w:val="3DA2BC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43A"/>
    <w:multiLevelType w:val="hybridMultilevel"/>
    <w:tmpl w:val="B04CDCC4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B922179"/>
    <w:multiLevelType w:val="hybridMultilevel"/>
    <w:tmpl w:val="CC3C92E4"/>
    <w:lvl w:ilvl="0" w:tplc="0809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68345E5"/>
    <w:multiLevelType w:val="hybridMultilevel"/>
    <w:tmpl w:val="A168C09C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C1B35"/>
    <w:multiLevelType w:val="hybridMultilevel"/>
    <w:tmpl w:val="E5628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8784"/>
    <w:multiLevelType w:val="hybridMultilevel"/>
    <w:tmpl w:val="F1A9F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9472B3"/>
    <w:multiLevelType w:val="hybridMultilevel"/>
    <w:tmpl w:val="C45CB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F7F53"/>
    <w:multiLevelType w:val="hybridMultilevel"/>
    <w:tmpl w:val="BC849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A79"/>
    <w:multiLevelType w:val="hybridMultilevel"/>
    <w:tmpl w:val="58F4E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50C6"/>
    <w:multiLevelType w:val="hybridMultilevel"/>
    <w:tmpl w:val="2A9E3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730CF"/>
    <w:multiLevelType w:val="hybridMultilevel"/>
    <w:tmpl w:val="79B8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3B9C"/>
    <w:multiLevelType w:val="hybridMultilevel"/>
    <w:tmpl w:val="033A1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283D"/>
    <w:multiLevelType w:val="hybridMultilevel"/>
    <w:tmpl w:val="4DDEA744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4BA1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F83D9F"/>
    <w:multiLevelType w:val="hybridMultilevel"/>
    <w:tmpl w:val="BE122F22"/>
    <w:lvl w:ilvl="0" w:tplc="143EF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D58D3"/>
    <w:multiLevelType w:val="hybridMultilevel"/>
    <w:tmpl w:val="D9B0C7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03ED2"/>
    <w:multiLevelType w:val="hybridMultilevel"/>
    <w:tmpl w:val="827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1D34"/>
    <w:multiLevelType w:val="hybridMultilevel"/>
    <w:tmpl w:val="2AE267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04AD"/>
    <w:multiLevelType w:val="hybridMultilevel"/>
    <w:tmpl w:val="27180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068A4"/>
    <w:multiLevelType w:val="hybridMultilevel"/>
    <w:tmpl w:val="DE1ED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D4DB0"/>
    <w:multiLevelType w:val="hybridMultilevel"/>
    <w:tmpl w:val="2DCC7A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754BB"/>
    <w:multiLevelType w:val="hybridMultilevel"/>
    <w:tmpl w:val="B3F0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877B4"/>
    <w:multiLevelType w:val="hybridMultilevel"/>
    <w:tmpl w:val="DF7409F0"/>
    <w:lvl w:ilvl="0" w:tplc="254E9F26">
      <w:start w:val="1"/>
      <w:numFmt w:val="decimal"/>
      <w:lvlText w:val="Step 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8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9"/>
  </w:num>
  <w:num w:numId="14">
    <w:abstractNumId w:val="21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 w:numId="20">
    <w:abstractNumId w:val="15"/>
  </w:num>
  <w:num w:numId="21">
    <w:abstractNumId w:val="20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F3"/>
    <w:rsid w:val="00052239"/>
    <w:rsid w:val="00053F44"/>
    <w:rsid w:val="00063F60"/>
    <w:rsid w:val="000706CA"/>
    <w:rsid w:val="00073CFF"/>
    <w:rsid w:val="00077E39"/>
    <w:rsid w:val="00085E32"/>
    <w:rsid w:val="0008624C"/>
    <w:rsid w:val="0008714A"/>
    <w:rsid w:val="00087C6A"/>
    <w:rsid w:val="00093842"/>
    <w:rsid w:val="0009480A"/>
    <w:rsid w:val="000B6735"/>
    <w:rsid w:val="000E4CA3"/>
    <w:rsid w:val="000F0870"/>
    <w:rsid w:val="000F0C7E"/>
    <w:rsid w:val="000F279B"/>
    <w:rsid w:val="00104987"/>
    <w:rsid w:val="00114156"/>
    <w:rsid w:val="00124879"/>
    <w:rsid w:val="0013070E"/>
    <w:rsid w:val="0013508F"/>
    <w:rsid w:val="0015074D"/>
    <w:rsid w:val="00163A6F"/>
    <w:rsid w:val="00164CBF"/>
    <w:rsid w:val="0016790C"/>
    <w:rsid w:val="00176181"/>
    <w:rsid w:val="00177E1F"/>
    <w:rsid w:val="001816F7"/>
    <w:rsid w:val="00183998"/>
    <w:rsid w:val="001B171C"/>
    <w:rsid w:val="001C5F12"/>
    <w:rsid w:val="001C7E75"/>
    <w:rsid w:val="001D1EB3"/>
    <w:rsid w:val="001D4004"/>
    <w:rsid w:val="002101EA"/>
    <w:rsid w:val="002138E2"/>
    <w:rsid w:val="0021793B"/>
    <w:rsid w:val="002209C3"/>
    <w:rsid w:val="00225422"/>
    <w:rsid w:val="00244088"/>
    <w:rsid w:val="00246BB5"/>
    <w:rsid w:val="00250147"/>
    <w:rsid w:val="00250346"/>
    <w:rsid w:val="00273AF0"/>
    <w:rsid w:val="00275AE9"/>
    <w:rsid w:val="00275D4A"/>
    <w:rsid w:val="0029498D"/>
    <w:rsid w:val="002A0098"/>
    <w:rsid w:val="002A06B0"/>
    <w:rsid w:val="002A4E78"/>
    <w:rsid w:val="002B31B4"/>
    <w:rsid w:val="002B66F4"/>
    <w:rsid w:val="002C0B4C"/>
    <w:rsid w:val="002D10C9"/>
    <w:rsid w:val="002F241A"/>
    <w:rsid w:val="00325E1D"/>
    <w:rsid w:val="0032729A"/>
    <w:rsid w:val="003358CC"/>
    <w:rsid w:val="00340934"/>
    <w:rsid w:val="003426B7"/>
    <w:rsid w:val="00345766"/>
    <w:rsid w:val="00346502"/>
    <w:rsid w:val="00352B4A"/>
    <w:rsid w:val="0036175C"/>
    <w:rsid w:val="00362564"/>
    <w:rsid w:val="00366C2C"/>
    <w:rsid w:val="0037185D"/>
    <w:rsid w:val="00374DBE"/>
    <w:rsid w:val="00381A23"/>
    <w:rsid w:val="0038355C"/>
    <w:rsid w:val="00391371"/>
    <w:rsid w:val="003B6B67"/>
    <w:rsid w:val="003B7FAA"/>
    <w:rsid w:val="003C5904"/>
    <w:rsid w:val="003D1827"/>
    <w:rsid w:val="003E6EE9"/>
    <w:rsid w:val="003F1DCB"/>
    <w:rsid w:val="00400A19"/>
    <w:rsid w:val="00403FA5"/>
    <w:rsid w:val="00405005"/>
    <w:rsid w:val="00412050"/>
    <w:rsid w:val="004309F5"/>
    <w:rsid w:val="00434203"/>
    <w:rsid w:val="004567FF"/>
    <w:rsid w:val="00460F93"/>
    <w:rsid w:val="00470B96"/>
    <w:rsid w:val="00471B2B"/>
    <w:rsid w:val="00473766"/>
    <w:rsid w:val="00477D19"/>
    <w:rsid w:val="00483E51"/>
    <w:rsid w:val="00486FFF"/>
    <w:rsid w:val="00495082"/>
    <w:rsid w:val="00496CF3"/>
    <w:rsid w:val="004A5DD7"/>
    <w:rsid w:val="004B2E6F"/>
    <w:rsid w:val="004B614C"/>
    <w:rsid w:val="004C043C"/>
    <w:rsid w:val="004C2554"/>
    <w:rsid w:val="004C4067"/>
    <w:rsid w:val="004C6B7A"/>
    <w:rsid w:val="004C785E"/>
    <w:rsid w:val="004E27F8"/>
    <w:rsid w:val="00505CF9"/>
    <w:rsid w:val="00515712"/>
    <w:rsid w:val="00517085"/>
    <w:rsid w:val="0052689E"/>
    <w:rsid w:val="00527188"/>
    <w:rsid w:val="005272A9"/>
    <w:rsid w:val="00527358"/>
    <w:rsid w:val="00530518"/>
    <w:rsid w:val="00532567"/>
    <w:rsid w:val="005427A5"/>
    <w:rsid w:val="0054365E"/>
    <w:rsid w:val="005510D1"/>
    <w:rsid w:val="00563762"/>
    <w:rsid w:val="00572578"/>
    <w:rsid w:val="00572612"/>
    <w:rsid w:val="0057452E"/>
    <w:rsid w:val="0057787F"/>
    <w:rsid w:val="00581130"/>
    <w:rsid w:val="00581ED9"/>
    <w:rsid w:val="00583F2E"/>
    <w:rsid w:val="00591E22"/>
    <w:rsid w:val="00592EBA"/>
    <w:rsid w:val="00595C1B"/>
    <w:rsid w:val="005A16AE"/>
    <w:rsid w:val="005B4936"/>
    <w:rsid w:val="005B4DBA"/>
    <w:rsid w:val="005B5549"/>
    <w:rsid w:val="005E5A56"/>
    <w:rsid w:val="005F3BDB"/>
    <w:rsid w:val="005F40CF"/>
    <w:rsid w:val="00603CCF"/>
    <w:rsid w:val="00605421"/>
    <w:rsid w:val="00612995"/>
    <w:rsid w:val="00613521"/>
    <w:rsid w:val="006143BD"/>
    <w:rsid w:val="00614A88"/>
    <w:rsid w:val="00622D3D"/>
    <w:rsid w:val="006242BB"/>
    <w:rsid w:val="0062562D"/>
    <w:rsid w:val="00633695"/>
    <w:rsid w:val="006408DF"/>
    <w:rsid w:val="006512DD"/>
    <w:rsid w:val="00651D53"/>
    <w:rsid w:val="00661081"/>
    <w:rsid w:val="00662EB4"/>
    <w:rsid w:val="00665243"/>
    <w:rsid w:val="006714F6"/>
    <w:rsid w:val="00674DF3"/>
    <w:rsid w:val="00681070"/>
    <w:rsid w:val="00684D85"/>
    <w:rsid w:val="00697CBC"/>
    <w:rsid w:val="006A6F61"/>
    <w:rsid w:val="006B4042"/>
    <w:rsid w:val="006D3284"/>
    <w:rsid w:val="006F340C"/>
    <w:rsid w:val="0070117B"/>
    <w:rsid w:val="0070176D"/>
    <w:rsid w:val="00702265"/>
    <w:rsid w:val="007073B2"/>
    <w:rsid w:val="00711922"/>
    <w:rsid w:val="00716EFA"/>
    <w:rsid w:val="00724573"/>
    <w:rsid w:val="00726CB5"/>
    <w:rsid w:val="00731DA5"/>
    <w:rsid w:val="0073629D"/>
    <w:rsid w:val="00737DEA"/>
    <w:rsid w:val="00763FD0"/>
    <w:rsid w:val="00765A32"/>
    <w:rsid w:val="007672DC"/>
    <w:rsid w:val="007674AE"/>
    <w:rsid w:val="00772287"/>
    <w:rsid w:val="0078155B"/>
    <w:rsid w:val="00781A47"/>
    <w:rsid w:val="00781F6A"/>
    <w:rsid w:val="00797CEA"/>
    <w:rsid w:val="00797EAC"/>
    <w:rsid w:val="007A6F25"/>
    <w:rsid w:val="007D5295"/>
    <w:rsid w:val="007D6111"/>
    <w:rsid w:val="007F1170"/>
    <w:rsid w:val="008001EF"/>
    <w:rsid w:val="00805216"/>
    <w:rsid w:val="00812CE8"/>
    <w:rsid w:val="008170D5"/>
    <w:rsid w:val="00825102"/>
    <w:rsid w:val="00827005"/>
    <w:rsid w:val="008332BF"/>
    <w:rsid w:val="00840351"/>
    <w:rsid w:val="008412C8"/>
    <w:rsid w:val="00867152"/>
    <w:rsid w:val="0086715D"/>
    <w:rsid w:val="00874EAF"/>
    <w:rsid w:val="00876C72"/>
    <w:rsid w:val="008832A9"/>
    <w:rsid w:val="0088357C"/>
    <w:rsid w:val="00885D91"/>
    <w:rsid w:val="00890BE9"/>
    <w:rsid w:val="0089298E"/>
    <w:rsid w:val="00894F47"/>
    <w:rsid w:val="0089518D"/>
    <w:rsid w:val="00895318"/>
    <w:rsid w:val="008A731C"/>
    <w:rsid w:val="008C2BCD"/>
    <w:rsid w:val="008D0A39"/>
    <w:rsid w:val="008F29C4"/>
    <w:rsid w:val="00910641"/>
    <w:rsid w:val="009232BE"/>
    <w:rsid w:val="00926AD4"/>
    <w:rsid w:val="00927671"/>
    <w:rsid w:val="00927742"/>
    <w:rsid w:val="00935838"/>
    <w:rsid w:val="009410B0"/>
    <w:rsid w:val="00954A07"/>
    <w:rsid w:val="0095563E"/>
    <w:rsid w:val="00961760"/>
    <w:rsid w:val="00971736"/>
    <w:rsid w:val="00972E56"/>
    <w:rsid w:val="00977EAB"/>
    <w:rsid w:val="00981B6F"/>
    <w:rsid w:val="00996D71"/>
    <w:rsid w:val="009A1905"/>
    <w:rsid w:val="009A41FC"/>
    <w:rsid w:val="009B7CF5"/>
    <w:rsid w:val="009C4418"/>
    <w:rsid w:val="009E2B43"/>
    <w:rsid w:val="009E6CD9"/>
    <w:rsid w:val="009F73B4"/>
    <w:rsid w:val="009F7E8E"/>
    <w:rsid w:val="00A007F2"/>
    <w:rsid w:val="00A205AB"/>
    <w:rsid w:val="00A229B4"/>
    <w:rsid w:val="00A31340"/>
    <w:rsid w:val="00A403D7"/>
    <w:rsid w:val="00A56096"/>
    <w:rsid w:val="00A64419"/>
    <w:rsid w:val="00A67987"/>
    <w:rsid w:val="00A67C25"/>
    <w:rsid w:val="00A70B46"/>
    <w:rsid w:val="00A86BA8"/>
    <w:rsid w:val="00AB0BF9"/>
    <w:rsid w:val="00AB7CA7"/>
    <w:rsid w:val="00AD0BF5"/>
    <w:rsid w:val="00AE31B6"/>
    <w:rsid w:val="00AE3AAF"/>
    <w:rsid w:val="00AE6477"/>
    <w:rsid w:val="00AE6831"/>
    <w:rsid w:val="00AF3C5C"/>
    <w:rsid w:val="00B021C3"/>
    <w:rsid w:val="00B04CFA"/>
    <w:rsid w:val="00B07F00"/>
    <w:rsid w:val="00B155CD"/>
    <w:rsid w:val="00B203B1"/>
    <w:rsid w:val="00B25BF3"/>
    <w:rsid w:val="00B30107"/>
    <w:rsid w:val="00B37596"/>
    <w:rsid w:val="00B45129"/>
    <w:rsid w:val="00B47618"/>
    <w:rsid w:val="00B52761"/>
    <w:rsid w:val="00B55E10"/>
    <w:rsid w:val="00B670FD"/>
    <w:rsid w:val="00B70128"/>
    <w:rsid w:val="00B80CC7"/>
    <w:rsid w:val="00B826B9"/>
    <w:rsid w:val="00BA2C9A"/>
    <w:rsid w:val="00BA61E4"/>
    <w:rsid w:val="00BB3136"/>
    <w:rsid w:val="00BC1931"/>
    <w:rsid w:val="00BC52EF"/>
    <w:rsid w:val="00BE5FDB"/>
    <w:rsid w:val="00BE6333"/>
    <w:rsid w:val="00BF129F"/>
    <w:rsid w:val="00BF402D"/>
    <w:rsid w:val="00BF4A98"/>
    <w:rsid w:val="00C04758"/>
    <w:rsid w:val="00C1663B"/>
    <w:rsid w:val="00C2635A"/>
    <w:rsid w:val="00C323CB"/>
    <w:rsid w:val="00C35684"/>
    <w:rsid w:val="00C4573C"/>
    <w:rsid w:val="00C5294C"/>
    <w:rsid w:val="00C62B09"/>
    <w:rsid w:val="00C7276E"/>
    <w:rsid w:val="00C72819"/>
    <w:rsid w:val="00C7707F"/>
    <w:rsid w:val="00C82650"/>
    <w:rsid w:val="00C87613"/>
    <w:rsid w:val="00C91676"/>
    <w:rsid w:val="00C9413F"/>
    <w:rsid w:val="00CA032A"/>
    <w:rsid w:val="00CA2835"/>
    <w:rsid w:val="00CB456B"/>
    <w:rsid w:val="00CC2818"/>
    <w:rsid w:val="00CC2D1C"/>
    <w:rsid w:val="00CC555C"/>
    <w:rsid w:val="00CD4B48"/>
    <w:rsid w:val="00CD4FA1"/>
    <w:rsid w:val="00CD7794"/>
    <w:rsid w:val="00CE1909"/>
    <w:rsid w:val="00CE1ACE"/>
    <w:rsid w:val="00CE1EF6"/>
    <w:rsid w:val="00CE2D80"/>
    <w:rsid w:val="00CE4FCB"/>
    <w:rsid w:val="00CF2D5B"/>
    <w:rsid w:val="00D12FA3"/>
    <w:rsid w:val="00D31128"/>
    <w:rsid w:val="00D376F2"/>
    <w:rsid w:val="00D41C56"/>
    <w:rsid w:val="00D468E8"/>
    <w:rsid w:val="00D46C00"/>
    <w:rsid w:val="00D5505F"/>
    <w:rsid w:val="00D55226"/>
    <w:rsid w:val="00D70CD6"/>
    <w:rsid w:val="00D71B6A"/>
    <w:rsid w:val="00D82AF9"/>
    <w:rsid w:val="00D93365"/>
    <w:rsid w:val="00DA627A"/>
    <w:rsid w:val="00DB2FDE"/>
    <w:rsid w:val="00DB4A5A"/>
    <w:rsid w:val="00DC3B3E"/>
    <w:rsid w:val="00DC7A9E"/>
    <w:rsid w:val="00DD1AAA"/>
    <w:rsid w:val="00DE1DDE"/>
    <w:rsid w:val="00DE294B"/>
    <w:rsid w:val="00DF0ACF"/>
    <w:rsid w:val="00DF7698"/>
    <w:rsid w:val="00E06CD9"/>
    <w:rsid w:val="00E26C53"/>
    <w:rsid w:val="00E33168"/>
    <w:rsid w:val="00E34DED"/>
    <w:rsid w:val="00E43F9B"/>
    <w:rsid w:val="00E57E90"/>
    <w:rsid w:val="00E73FBD"/>
    <w:rsid w:val="00E76EB4"/>
    <w:rsid w:val="00E9111E"/>
    <w:rsid w:val="00E963E1"/>
    <w:rsid w:val="00EA0B34"/>
    <w:rsid w:val="00EB21CD"/>
    <w:rsid w:val="00EB23B8"/>
    <w:rsid w:val="00EB34D0"/>
    <w:rsid w:val="00EC313F"/>
    <w:rsid w:val="00ED47F5"/>
    <w:rsid w:val="00EE140D"/>
    <w:rsid w:val="00EE54AD"/>
    <w:rsid w:val="00EE6A60"/>
    <w:rsid w:val="00EF4BA4"/>
    <w:rsid w:val="00EF57FB"/>
    <w:rsid w:val="00F357F5"/>
    <w:rsid w:val="00F43801"/>
    <w:rsid w:val="00F63FB9"/>
    <w:rsid w:val="00F6565A"/>
    <w:rsid w:val="00F661EA"/>
    <w:rsid w:val="00F814E6"/>
    <w:rsid w:val="00F93E62"/>
    <w:rsid w:val="00FA55B2"/>
    <w:rsid w:val="00FB652D"/>
    <w:rsid w:val="00FC051D"/>
    <w:rsid w:val="00FC2964"/>
    <w:rsid w:val="00FD7A0C"/>
    <w:rsid w:val="00FE1ACF"/>
    <w:rsid w:val="00FE21D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5CF417-2721-483B-ADB5-6AA12A78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25B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BF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25BF3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B25BF3"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B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25BF3"/>
    <w:pPr>
      <w:ind w:left="720"/>
    </w:pPr>
  </w:style>
  <w:style w:type="paragraph" w:styleId="BodyText">
    <w:name w:val="Body Text"/>
    <w:basedOn w:val="Normal"/>
    <w:rsid w:val="00B25BF3"/>
    <w:rPr>
      <w:rFonts w:ascii="Arial Narrow" w:hAnsi="Arial Narrow"/>
      <w:sz w:val="20"/>
    </w:rPr>
  </w:style>
  <w:style w:type="paragraph" w:styleId="Title">
    <w:name w:val="Title"/>
    <w:basedOn w:val="Normal"/>
    <w:qFormat/>
    <w:rsid w:val="00B25BF3"/>
    <w:pPr>
      <w:jc w:val="center"/>
    </w:pPr>
    <w:rPr>
      <w:b/>
      <w:bCs/>
    </w:rPr>
  </w:style>
  <w:style w:type="character" w:styleId="Hyperlink">
    <w:name w:val="Hyperlink"/>
    <w:rsid w:val="00B25BF3"/>
    <w:rPr>
      <w:color w:val="0000FF"/>
      <w:u w:val="single"/>
    </w:rPr>
  </w:style>
  <w:style w:type="table" w:styleId="TableGrid">
    <w:name w:val="Table Grid"/>
    <w:basedOn w:val="TableNormal"/>
    <w:rsid w:val="00B2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5BF3"/>
  </w:style>
  <w:style w:type="paragraph" w:styleId="BalloonText">
    <w:name w:val="Balloon Text"/>
    <w:basedOn w:val="Normal"/>
    <w:semiHidden/>
    <w:rsid w:val="00B25BF3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BF3"/>
    <w:rPr>
      <w:b/>
      <w:bCs/>
    </w:rPr>
  </w:style>
  <w:style w:type="character" w:styleId="CommentReference">
    <w:name w:val="annotation reference"/>
    <w:semiHidden/>
    <w:rsid w:val="00B25BF3"/>
    <w:rPr>
      <w:sz w:val="16"/>
      <w:szCs w:val="16"/>
    </w:rPr>
  </w:style>
  <w:style w:type="paragraph" w:styleId="CommentText">
    <w:name w:val="annotation text"/>
    <w:basedOn w:val="Normal"/>
    <w:semiHidden/>
    <w:rsid w:val="00B25B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BF3"/>
    <w:rPr>
      <w:b/>
      <w:bCs/>
    </w:rPr>
  </w:style>
  <w:style w:type="paragraph" w:styleId="TOC1">
    <w:name w:val="toc 1"/>
    <w:basedOn w:val="Normal"/>
    <w:next w:val="Normal"/>
    <w:autoRedefine/>
    <w:semiHidden/>
    <w:rsid w:val="00591E22"/>
    <w:pPr>
      <w:tabs>
        <w:tab w:val="left" w:pos="960"/>
        <w:tab w:val="right" w:pos="9061"/>
      </w:tabs>
      <w:spacing w:before="240" w:after="120"/>
    </w:pPr>
    <w:rPr>
      <w:rFonts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B25BF3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OC3">
    <w:name w:val="toc 3"/>
    <w:basedOn w:val="Normal"/>
    <w:next w:val="Normal"/>
    <w:autoRedefine/>
    <w:semiHidden/>
    <w:rsid w:val="00B25BF3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B25BF3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B25BF3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B25BF3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B25BF3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B25BF3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B25BF3"/>
    <w:pPr>
      <w:ind w:left="192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B25BF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CE1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F7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7E8E"/>
    <w:pPr>
      <w:ind w:left="720"/>
    </w:pPr>
  </w:style>
  <w:style w:type="character" w:customStyle="1" w:styleId="FooterChar">
    <w:name w:val="Footer Char"/>
    <w:link w:val="Footer"/>
    <w:uiPriority w:val="99"/>
    <w:rsid w:val="002209C3"/>
    <w:rPr>
      <w:rFonts w:ascii="Arial" w:hAnsi="Arial"/>
      <w:sz w:val="24"/>
      <w:lang w:eastAsia="en-US"/>
    </w:rPr>
  </w:style>
  <w:style w:type="character" w:customStyle="1" w:styleId="legds2">
    <w:name w:val="legds2"/>
    <w:rsid w:val="00486FF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26" Type="http://schemas.openxmlformats.org/officeDocument/2006/relationships/hyperlink" Target="https://www.gov.scot/binaries/content/documents/govscot/publications/guidance/2018/03/fairer-scotland-duty-interim-guidance-public-bodies/documents/00533417-pdf/00533417-pdf/govscot%3Adocumen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kenneth.harris@glasgow.gov.uk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gov.uk/definition-of-disability-under-equality-act-2010" TargetMode="External"/><Relationship Id="rId25" Type="http://schemas.openxmlformats.org/officeDocument/2006/relationships/hyperlink" Target="http://www.equalityhumanrights.com/about-us/devolved-authorities/the-commission-in-scotland/legal-news-in-about-us/devolved-authorities/the-commission-in-scotland/articles/understanding-the-scottish-specific-public-sector-equality-du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" TargetMode="External"/><Relationship Id="rId20" Type="http://schemas.openxmlformats.org/officeDocument/2006/relationships/hyperlink" Target="mailto:kenneth.harris@glasgow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gov.uk/equality-act-2010-guida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lasgow.gov.uk/foodgrowing" TargetMode="External"/><Relationship Id="rId23" Type="http://schemas.openxmlformats.org/officeDocument/2006/relationships/hyperlink" Target="https://www.glasgow.gov.uk/index.aspx?articleid=17533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glasgow.gov.uk/index.aspx?articleid=175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118E-3FF2-4340-8EF1-769610678F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3664AE-9EF6-42C6-926D-A010159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1750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Glasgow city Council</Company>
  <LinksUpToDate>false</LinksUpToDate>
  <CharactersWithSpaces>13595</CharactersWithSpaces>
  <SharedDoc>false</SharedDoc>
  <HLinks>
    <vt:vector size="72" baseType="variant">
      <vt:variant>
        <vt:i4>655365</vt:i4>
      </vt:variant>
      <vt:variant>
        <vt:i4>33</vt:i4>
      </vt:variant>
      <vt:variant>
        <vt:i4>0</vt:i4>
      </vt:variant>
      <vt:variant>
        <vt:i4>5</vt:i4>
      </vt:variant>
      <vt:variant>
        <vt:lpwstr>https://www.gov.scot/binaries/content/documents/govscot/publications/guidance/2018/03/fairer-scotland-duty-interim-guidance-public-bodies/documents/00533417-pdf/00533417-pdf/govscot%3Adocument</vt:lpwstr>
      </vt:variant>
      <vt:variant>
        <vt:lpwstr/>
      </vt:variant>
      <vt:variant>
        <vt:i4>1704026</vt:i4>
      </vt:variant>
      <vt:variant>
        <vt:i4>30</vt:i4>
      </vt:variant>
      <vt:variant>
        <vt:i4>0</vt:i4>
      </vt:variant>
      <vt:variant>
        <vt:i4>5</vt:i4>
      </vt:variant>
      <vt:variant>
        <vt:lpwstr>http://www.equalityhumanrights.com/about-us/devolved-authorities/the-commission-in-scotland/legal-news-in-about-us/devolved-authorities/the-commission-in-scotland/articles/understanding-the-scottish-specific-public-sector-equality-duties</vt:lpwstr>
      </vt:variant>
      <vt:variant>
        <vt:lpwstr/>
      </vt:variant>
      <vt:variant>
        <vt:i4>327759</vt:i4>
      </vt:variant>
      <vt:variant>
        <vt:i4>27</vt:i4>
      </vt:variant>
      <vt:variant>
        <vt:i4>0</vt:i4>
      </vt:variant>
      <vt:variant>
        <vt:i4>5</vt:i4>
      </vt:variant>
      <vt:variant>
        <vt:lpwstr>https://www.gov.uk/equality-act-2010-guidance</vt:lpwstr>
      </vt:variant>
      <vt:variant>
        <vt:lpwstr/>
      </vt:variant>
      <vt:variant>
        <vt:i4>4194368</vt:i4>
      </vt:variant>
      <vt:variant>
        <vt:i4>24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4194368</vt:i4>
      </vt:variant>
      <vt:variant>
        <vt:i4>21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2949129</vt:i4>
      </vt:variant>
      <vt:variant>
        <vt:i4>18</vt:i4>
      </vt:variant>
      <vt:variant>
        <vt:i4>0</vt:i4>
      </vt:variant>
      <vt:variant>
        <vt:i4>5</vt:i4>
      </vt:variant>
      <vt:variant>
        <vt:lpwstr>mailto:kenneth.harris@glasgow.gov.uk</vt:lpwstr>
      </vt:variant>
      <vt:variant>
        <vt:lpwstr/>
      </vt:variant>
      <vt:variant>
        <vt:i4>2949129</vt:i4>
      </vt:variant>
      <vt:variant>
        <vt:i4>15</vt:i4>
      </vt:variant>
      <vt:variant>
        <vt:i4>0</vt:i4>
      </vt:variant>
      <vt:variant>
        <vt:i4>5</vt:i4>
      </vt:variant>
      <vt:variant>
        <vt:lpwstr>mailto:kenneth.harris@glasgow.gov.uk</vt:lpwstr>
      </vt:variant>
      <vt:variant>
        <vt:lpwstr/>
      </vt:variant>
      <vt:variant>
        <vt:i4>6422632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3014754</vt:i4>
      </vt:variant>
      <vt:variant>
        <vt:i4>6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https://www.glasgow.gov.uk/foodgrowing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Quinn, Cormac</dc:creator>
  <cp:keywords>[OFFICIAL]</cp:keywords>
  <cp:lastModifiedBy>Speirs, Alan (Social Work)</cp:lastModifiedBy>
  <cp:revision>3</cp:revision>
  <cp:lastPrinted>2020-01-29T08:49:00Z</cp:lastPrinted>
  <dcterms:created xsi:type="dcterms:W3CDTF">2021-01-07T16:04:00Z</dcterms:created>
  <dcterms:modified xsi:type="dcterms:W3CDTF">2021-01-07T16:09:00Z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4cac8de5-ab9d-440c-868b-1bcc5652af54</vt:lpwstr>
  </property>
  <property fmtid="{D5CDD505-2E9C-101B-9397-08002B2CF9AE}" pid="3" name="bjSaver">
    <vt:lpwstr>PdGnoHlGvh91i0/77eO7gp0KrNZKncLM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HeaderBothDocProperty">
    <vt:lpwstr>OFFICIAL</vt:lpwstr>
  </property>
  <property fmtid="{D5CDD505-2E9C-101B-9397-08002B2CF9AE}" pid="7" name="bjHeaderEvenPageDocProperty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