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77777777" w:rsidR="008731C6" w:rsidRPr="00CC27B6" w:rsidRDefault="00A37E34" w:rsidP="00CC27B6">
      <w:pPr>
        <w:spacing w:after="0" w:line="276" w:lineRule="auto"/>
        <w:jc w:val="center"/>
        <w:rPr>
          <w:rFonts w:cs="Arial"/>
          <w:b/>
          <w:sz w:val="28"/>
          <w:szCs w:val="28"/>
        </w:rPr>
      </w:pPr>
      <w:r w:rsidRPr="00CC27B6">
        <w:rPr>
          <w:rFonts w:cs="Arial"/>
          <w:b/>
          <w:sz w:val="28"/>
          <w:szCs w:val="28"/>
        </w:rPr>
        <w:t>Operational Steering Group</w:t>
      </w:r>
      <w:r w:rsidR="00BF1D35" w:rsidRPr="00CC27B6">
        <w:rPr>
          <w:rFonts w:cs="Arial"/>
          <w:b/>
          <w:sz w:val="28"/>
          <w:szCs w:val="28"/>
        </w:rPr>
        <w:t xml:space="preserve"> (OSG)</w:t>
      </w:r>
    </w:p>
    <w:p w14:paraId="3EB8512D" w14:textId="132DAB71" w:rsidR="008E4D0F" w:rsidRPr="00CC27B6" w:rsidRDefault="008E4D0F" w:rsidP="00CC27B6">
      <w:pPr>
        <w:spacing w:after="0" w:line="276" w:lineRule="auto"/>
        <w:jc w:val="center"/>
        <w:rPr>
          <w:rFonts w:cs="Arial"/>
          <w:b/>
          <w:sz w:val="28"/>
          <w:szCs w:val="28"/>
        </w:rPr>
      </w:pPr>
      <w:r w:rsidRPr="00CC27B6">
        <w:rPr>
          <w:rFonts w:cs="Arial"/>
          <w:b/>
          <w:sz w:val="28"/>
          <w:szCs w:val="28"/>
        </w:rPr>
        <w:t xml:space="preserve">Date: </w:t>
      </w:r>
      <w:r w:rsidR="00E232B0">
        <w:rPr>
          <w:rFonts w:cs="Arial"/>
          <w:b/>
          <w:sz w:val="28"/>
          <w:szCs w:val="28"/>
        </w:rPr>
        <w:t xml:space="preserve">Tuesday </w:t>
      </w:r>
      <w:r w:rsidR="007F1323">
        <w:rPr>
          <w:rFonts w:cs="Arial"/>
          <w:b/>
          <w:sz w:val="28"/>
          <w:szCs w:val="28"/>
        </w:rPr>
        <w:t>29</w:t>
      </w:r>
      <w:r w:rsidR="007F1323">
        <w:rPr>
          <w:rFonts w:cs="Arial"/>
          <w:b/>
          <w:sz w:val="28"/>
          <w:szCs w:val="28"/>
          <w:vertAlign w:val="superscript"/>
        </w:rPr>
        <w:t xml:space="preserve"> </w:t>
      </w:r>
      <w:r w:rsidR="007F1323">
        <w:rPr>
          <w:rFonts w:cs="Arial"/>
          <w:b/>
          <w:sz w:val="28"/>
          <w:szCs w:val="28"/>
        </w:rPr>
        <w:t>November</w:t>
      </w:r>
      <w:r w:rsidR="00E232B0">
        <w:rPr>
          <w:rFonts w:cs="Arial"/>
          <w:b/>
          <w:sz w:val="28"/>
          <w:szCs w:val="28"/>
        </w:rPr>
        <w:t xml:space="preserve"> 2022</w:t>
      </w:r>
    </w:p>
    <w:p w14:paraId="400F0470" w14:textId="77777777" w:rsidR="0037728D" w:rsidRPr="00CC27B6" w:rsidRDefault="0037728D" w:rsidP="00CC27B6">
      <w:pPr>
        <w:spacing w:line="276" w:lineRule="auto"/>
        <w:jc w:val="both"/>
        <w:rPr>
          <w:rFonts w:cs="Arial"/>
          <w:b/>
          <w:sz w:val="20"/>
          <w:szCs w:val="20"/>
        </w:rPr>
      </w:pPr>
    </w:p>
    <w:tbl>
      <w:tblPr>
        <w:tblStyle w:val="TableGrid"/>
        <w:tblW w:w="5000" w:type="pct"/>
        <w:jc w:val="center"/>
        <w:tblLook w:val="04A0" w:firstRow="1" w:lastRow="0" w:firstColumn="1" w:lastColumn="0" w:noHBand="0" w:noVBand="1"/>
        <w:tblCaption w:val="Meeting Attendees"/>
      </w:tblPr>
      <w:tblGrid>
        <w:gridCol w:w="2256"/>
        <w:gridCol w:w="885"/>
        <w:gridCol w:w="3535"/>
        <w:gridCol w:w="2350"/>
      </w:tblGrid>
      <w:tr w:rsidR="0009631F" w:rsidRPr="007A5B14" w14:paraId="4E4C4F4A" w14:textId="6343EB77" w:rsidTr="008A477C">
        <w:trPr>
          <w:jc w:val="center"/>
        </w:trPr>
        <w:tc>
          <w:tcPr>
            <w:tcW w:w="1250" w:type="pct"/>
            <w:tcBorders>
              <w:top w:val="nil"/>
              <w:left w:val="nil"/>
              <w:bottom w:val="single" w:sz="4" w:space="0" w:color="auto"/>
              <w:right w:val="nil"/>
            </w:tcBorders>
            <w:shd w:val="clear" w:color="auto" w:fill="auto"/>
          </w:tcPr>
          <w:p w14:paraId="2F88E09E" w14:textId="77777777" w:rsidR="0009631F" w:rsidRPr="007A5B14" w:rsidRDefault="0009631F" w:rsidP="00CC27B6">
            <w:pPr>
              <w:spacing w:line="276" w:lineRule="auto"/>
              <w:rPr>
                <w:rFonts w:cs="Arial"/>
                <w:b/>
                <w:bCs/>
                <w:sz w:val="24"/>
                <w:szCs w:val="24"/>
              </w:rPr>
            </w:pPr>
            <w:r w:rsidRPr="007A5B14">
              <w:rPr>
                <w:rFonts w:cs="Arial"/>
                <w:b/>
                <w:bCs/>
                <w:sz w:val="24"/>
                <w:szCs w:val="24"/>
              </w:rPr>
              <w:t>Present:</w:t>
            </w:r>
          </w:p>
        </w:tc>
        <w:tc>
          <w:tcPr>
            <w:tcW w:w="490" w:type="pct"/>
            <w:tcBorders>
              <w:top w:val="nil"/>
              <w:left w:val="nil"/>
              <w:bottom w:val="single" w:sz="4" w:space="0" w:color="auto"/>
              <w:right w:val="nil"/>
            </w:tcBorders>
            <w:shd w:val="clear" w:color="auto" w:fill="auto"/>
          </w:tcPr>
          <w:p w14:paraId="311DDD59" w14:textId="77777777" w:rsidR="0009631F" w:rsidRPr="007A5B14" w:rsidRDefault="0009631F" w:rsidP="00CC27B6">
            <w:pPr>
              <w:spacing w:line="276" w:lineRule="auto"/>
              <w:rPr>
                <w:rFonts w:cs="Arial"/>
                <w:b/>
                <w:bCs/>
                <w:sz w:val="24"/>
                <w:szCs w:val="24"/>
              </w:rPr>
            </w:pPr>
          </w:p>
        </w:tc>
        <w:tc>
          <w:tcPr>
            <w:tcW w:w="1958" w:type="pct"/>
            <w:tcBorders>
              <w:top w:val="nil"/>
              <w:left w:val="nil"/>
              <w:bottom w:val="single" w:sz="4" w:space="0" w:color="auto"/>
              <w:right w:val="nil"/>
            </w:tcBorders>
            <w:shd w:val="clear" w:color="auto" w:fill="auto"/>
          </w:tcPr>
          <w:p w14:paraId="5DE2510D" w14:textId="7DAEA1FA" w:rsidR="0009631F" w:rsidRPr="007A5B14" w:rsidRDefault="0009631F" w:rsidP="00CC27B6">
            <w:pPr>
              <w:spacing w:line="276" w:lineRule="auto"/>
              <w:rPr>
                <w:rFonts w:cs="Arial"/>
                <w:b/>
                <w:bCs/>
                <w:sz w:val="24"/>
                <w:szCs w:val="24"/>
              </w:rPr>
            </w:pPr>
          </w:p>
        </w:tc>
        <w:tc>
          <w:tcPr>
            <w:tcW w:w="1302" w:type="pct"/>
            <w:tcBorders>
              <w:top w:val="nil"/>
              <w:left w:val="nil"/>
              <w:bottom w:val="single" w:sz="4" w:space="0" w:color="auto"/>
              <w:right w:val="nil"/>
            </w:tcBorders>
          </w:tcPr>
          <w:p w14:paraId="3FAD2FCA" w14:textId="77777777" w:rsidR="0009631F" w:rsidRPr="007A5B14" w:rsidRDefault="0009631F" w:rsidP="00CC27B6">
            <w:pPr>
              <w:spacing w:line="276" w:lineRule="auto"/>
              <w:rPr>
                <w:rFonts w:cs="Arial"/>
                <w:b/>
                <w:bCs/>
                <w:sz w:val="24"/>
                <w:szCs w:val="24"/>
              </w:rPr>
            </w:pPr>
          </w:p>
        </w:tc>
      </w:tr>
      <w:tr w:rsidR="0009631F" w:rsidRPr="007A5B14" w14:paraId="634AC7DD" w14:textId="720F2003" w:rsidTr="008A477C">
        <w:trPr>
          <w:jc w:val="center"/>
        </w:trPr>
        <w:tc>
          <w:tcPr>
            <w:tcW w:w="1250" w:type="pct"/>
            <w:tcBorders>
              <w:top w:val="single" w:sz="4" w:space="0" w:color="auto"/>
            </w:tcBorders>
            <w:shd w:val="clear" w:color="auto" w:fill="auto"/>
          </w:tcPr>
          <w:p w14:paraId="4AF3A868" w14:textId="452819EF" w:rsidR="0009631F" w:rsidRPr="007A5B14" w:rsidRDefault="0009631F" w:rsidP="00CC27B6">
            <w:pPr>
              <w:spacing w:line="276" w:lineRule="auto"/>
              <w:rPr>
                <w:rFonts w:cs="Arial"/>
                <w:b/>
                <w:bCs/>
                <w:sz w:val="24"/>
                <w:szCs w:val="24"/>
              </w:rPr>
            </w:pPr>
            <w:r w:rsidRPr="007A5B14">
              <w:rPr>
                <w:rFonts w:cs="Arial"/>
                <w:b/>
                <w:bCs/>
                <w:sz w:val="24"/>
                <w:szCs w:val="24"/>
              </w:rPr>
              <w:t>Attendee</w:t>
            </w:r>
          </w:p>
        </w:tc>
        <w:tc>
          <w:tcPr>
            <w:tcW w:w="490" w:type="pct"/>
            <w:tcBorders>
              <w:top w:val="single" w:sz="4" w:space="0" w:color="auto"/>
            </w:tcBorders>
          </w:tcPr>
          <w:p w14:paraId="00908C14" w14:textId="454A32EA" w:rsidR="0009631F" w:rsidRPr="007A5B14" w:rsidRDefault="0009631F" w:rsidP="00CC27B6">
            <w:pPr>
              <w:spacing w:line="276" w:lineRule="auto"/>
              <w:rPr>
                <w:rFonts w:cs="Arial"/>
                <w:b/>
                <w:bCs/>
                <w:sz w:val="24"/>
                <w:szCs w:val="24"/>
              </w:rPr>
            </w:pPr>
            <w:r w:rsidRPr="007A5B14">
              <w:rPr>
                <w:rFonts w:cs="Arial"/>
                <w:b/>
                <w:bCs/>
                <w:sz w:val="24"/>
                <w:szCs w:val="24"/>
              </w:rPr>
              <w:t>Initials</w:t>
            </w:r>
          </w:p>
        </w:tc>
        <w:tc>
          <w:tcPr>
            <w:tcW w:w="1958" w:type="pct"/>
            <w:tcBorders>
              <w:top w:val="single" w:sz="4" w:space="0" w:color="auto"/>
            </w:tcBorders>
            <w:shd w:val="clear" w:color="auto" w:fill="auto"/>
          </w:tcPr>
          <w:p w14:paraId="445A9D21" w14:textId="5927100B" w:rsidR="0009631F" w:rsidRPr="007A5B14" w:rsidRDefault="0009631F" w:rsidP="00CC27B6">
            <w:pPr>
              <w:spacing w:line="276" w:lineRule="auto"/>
              <w:rPr>
                <w:rFonts w:cs="Arial"/>
                <w:b/>
                <w:bCs/>
                <w:sz w:val="24"/>
                <w:szCs w:val="24"/>
              </w:rPr>
            </w:pPr>
            <w:r w:rsidRPr="007A5B14">
              <w:rPr>
                <w:rFonts w:cs="Arial"/>
                <w:b/>
                <w:bCs/>
                <w:sz w:val="24"/>
                <w:szCs w:val="24"/>
              </w:rPr>
              <w:t>Title</w:t>
            </w:r>
          </w:p>
        </w:tc>
        <w:tc>
          <w:tcPr>
            <w:tcW w:w="1302" w:type="pct"/>
            <w:tcBorders>
              <w:top w:val="single" w:sz="4" w:space="0" w:color="auto"/>
            </w:tcBorders>
          </w:tcPr>
          <w:p w14:paraId="494C05CE" w14:textId="6C74E711" w:rsidR="0009631F" w:rsidRPr="007A5B14" w:rsidRDefault="0009631F" w:rsidP="00CC27B6">
            <w:pPr>
              <w:spacing w:line="276" w:lineRule="auto"/>
              <w:rPr>
                <w:rFonts w:cs="Arial"/>
                <w:b/>
                <w:bCs/>
                <w:sz w:val="24"/>
                <w:szCs w:val="24"/>
              </w:rPr>
            </w:pPr>
            <w:r>
              <w:rPr>
                <w:rFonts w:cs="Arial"/>
                <w:b/>
                <w:bCs/>
                <w:sz w:val="24"/>
                <w:szCs w:val="24"/>
              </w:rPr>
              <w:t>Service (if applicable)</w:t>
            </w:r>
          </w:p>
        </w:tc>
      </w:tr>
      <w:tr w:rsidR="0009631F" w:rsidRPr="007A5B14" w14:paraId="0DEC8DA3" w14:textId="04878D47" w:rsidTr="008A477C">
        <w:trPr>
          <w:jc w:val="center"/>
        </w:trPr>
        <w:tc>
          <w:tcPr>
            <w:tcW w:w="1250" w:type="pct"/>
            <w:shd w:val="clear" w:color="auto" w:fill="auto"/>
          </w:tcPr>
          <w:p w14:paraId="44A20863" w14:textId="0DB86DF7" w:rsidR="0009631F" w:rsidRPr="00985C26" w:rsidRDefault="0009631F" w:rsidP="00CC27B6">
            <w:pPr>
              <w:spacing w:line="276" w:lineRule="auto"/>
              <w:rPr>
                <w:rFonts w:cs="Arial"/>
                <w:sz w:val="24"/>
                <w:szCs w:val="24"/>
              </w:rPr>
            </w:pPr>
            <w:r w:rsidRPr="00985C26">
              <w:rPr>
                <w:rFonts w:cs="Arial"/>
                <w:sz w:val="24"/>
                <w:szCs w:val="24"/>
              </w:rPr>
              <w:t>Jan Buchanan (Chair)</w:t>
            </w:r>
          </w:p>
        </w:tc>
        <w:tc>
          <w:tcPr>
            <w:tcW w:w="490" w:type="pct"/>
          </w:tcPr>
          <w:p w14:paraId="2A847BC7" w14:textId="1B36512D" w:rsidR="0009631F" w:rsidRPr="00985C26" w:rsidRDefault="0009631F" w:rsidP="00CC27B6">
            <w:pPr>
              <w:spacing w:line="276" w:lineRule="auto"/>
              <w:rPr>
                <w:rFonts w:cs="Arial"/>
                <w:sz w:val="24"/>
                <w:szCs w:val="24"/>
              </w:rPr>
            </w:pPr>
            <w:r w:rsidRPr="00985C26">
              <w:rPr>
                <w:rFonts w:cs="Arial"/>
                <w:sz w:val="24"/>
                <w:szCs w:val="24"/>
              </w:rPr>
              <w:t>JB</w:t>
            </w:r>
          </w:p>
        </w:tc>
        <w:tc>
          <w:tcPr>
            <w:tcW w:w="1958" w:type="pct"/>
            <w:shd w:val="clear" w:color="auto" w:fill="auto"/>
          </w:tcPr>
          <w:p w14:paraId="1728A91D" w14:textId="43B2276D" w:rsidR="0009631F" w:rsidRPr="00985C26" w:rsidRDefault="0009631F" w:rsidP="00CC27B6">
            <w:pPr>
              <w:spacing w:line="276" w:lineRule="auto"/>
              <w:rPr>
                <w:rFonts w:cs="Arial"/>
                <w:sz w:val="24"/>
                <w:szCs w:val="24"/>
              </w:rPr>
            </w:pPr>
            <w:r w:rsidRPr="00985C26">
              <w:rPr>
                <w:rFonts w:cs="Arial"/>
                <w:sz w:val="24"/>
                <w:szCs w:val="24"/>
              </w:rPr>
              <w:t>Director of Finance and Corporate Services</w:t>
            </w:r>
          </w:p>
        </w:tc>
        <w:tc>
          <w:tcPr>
            <w:tcW w:w="1302" w:type="pct"/>
          </w:tcPr>
          <w:p w14:paraId="5F437D4F" w14:textId="7F589211" w:rsidR="0009631F" w:rsidRPr="00985C26" w:rsidRDefault="0009631F" w:rsidP="00CC27B6">
            <w:pPr>
              <w:spacing w:line="276" w:lineRule="auto"/>
              <w:rPr>
                <w:rFonts w:cs="Arial"/>
                <w:sz w:val="24"/>
                <w:szCs w:val="24"/>
              </w:rPr>
            </w:pPr>
            <w:r w:rsidRPr="00985C26">
              <w:rPr>
                <w:rFonts w:cs="Arial"/>
                <w:sz w:val="24"/>
                <w:szCs w:val="24"/>
              </w:rPr>
              <w:t>Glasgow Life</w:t>
            </w:r>
          </w:p>
        </w:tc>
      </w:tr>
      <w:tr w:rsidR="0009631F" w:rsidRPr="007A5B14" w14:paraId="43D297D6" w14:textId="3B2B3975" w:rsidTr="008A477C">
        <w:trPr>
          <w:jc w:val="center"/>
        </w:trPr>
        <w:tc>
          <w:tcPr>
            <w:tcW w:w="1250" w:type="pct"/>
            <w:shd w:val="clear" w:color="auto" w:fill="auto"/>
          </w:tcPr>
          <w:p w14:paraId="5D0F2EB3" w14:textId="4BB7F90A" w:rsidR="0009631F" w:rsidRPr="00985C26" w:rsidRDefault="0009631F" w:rsidP="00CC27B6">
            <w:pPr>
              <w:spacing w:line="276" w:lineRule="auto"/>
              <w:rPr>
                <w:rFonts w:cs="Arial"/>
                <w:sz w:val="24"/>
                <w:szCs w:val="24"/>
              </w:rPr>
            </w:pPr>
            <w:r w:rsidRPr="00985C26">
              <w:rPr>
                <w:rFonts w:cs="Arial"/>
                <w:sz w:val="24"/>
                <w:szCs w:val="24"/>
              </w:rPr>
              <w:t>Naghat Ahmed</w:t>
            </w:r>
          </w:p>
        </w:tc>
        <w:tc>
          <w:tcPr>
            <w:tcW w:w="490" w:type="pct"/>
          </w:tcPr>
          <w:p w14:paraId="2A7F626B" w14:textId="124777F2" w:rsidR="0009631F" w:rsidRPr="00985C26" w:rsidRDefault="0009631F" w:rsidP="00CC27B6">
            <w:pPr>
              <w:spacing w:line="276" w:lineRule="auto"/>
              <w:rPr>
                <w:rFonts w:cs="Arial"/>
                <w:sz w:val="24"/>
                <w:szCs w:val="24"/>
              </w:rPr>
            </w:pPr>
            <w:r w:rsidRPr="00985C26">
              <w:rPr>
                <w:rFonts w:cs="Arial"/>
                <w:sz w:val="24"/>
                <w:szCs w:val="24"/>
              </w:rPr>
              <w:t>NA</w:t>
            </w:r>
          </w:p>
        </w:tc>
        <w:tc>
          <w:tcPr>
            <w:tcW w:w="1958" w:type="pct"/>
            <w:shd w:val="clear" w:color="auto" w:fill="auto"/>
          </w:tcPr>
          <w:p w14:paraId="73EF7118" w14:textId="3B515C69" w:rsidR="0009631F" w:rsidRPr="00985C26" w:rsidRDefault="0009631F" w:rsidP="00CC27B6">
            <w:pPr>
              <w:spacing w:line="276" w:lineRule="auto"/>
              <w:rPr>
                <w:rFonts w:cs="Arial"/>
                <w:sz w:val="24"/>
                <w:szCs w:val="24"/>
              </w:rPr>
            </w:pPr>
            <w:r w:rsidRPr="00985C26">
              <w:rPr>
                <w:rFonts w:cs="Arial"/>
                <w:sz w:val="24"/>
                <w:szCs w:val="24"/>
              </w:rPr>
              <w:t>Project Manager</w:t>
            </w:r>
          </w:p>
        </w:tc>
        <w:tc>
          <w:tcPr>
            <w:tcW w:w="1302" w:type="pct"/>
          </w:tcPr>
          <w:p w14:paraId="04481DB7" w14:textId="7E77F1A8" w:rsidR="0009631F" w:rsidRPr="00985C26" w:rsidRDefault="0009631F" w:rsidP="00CC27B6">
            <w:pPr>
              <w:spacing w:line="276" w:lineRule="auto"/>
              <w:rPr>
                <w:rFonts w:cs="Arial"/>
                <w:sz w:val="24"/>
                <w:szCs w:val="24"/>
              </w:rPr>
            </w:pPr>
            <w:r w:rsidRPr="00985C26">
              <w:rPr>
                <w:rFonts w:cs="Arial"/>
                <w:sz w:val="24"/>
                <w:szCs w:val="24"/>
              </w:rPr>
              <w:t>Chief Executives</w:t>
            </w:r>
          </w:p>
        </w:tc>
      </w:tr>
      <w:tr w:rsidR="0009631F" w:rsidRPr="007A5B14" w14:paraId="5684FE18" w14:textId="5DA8B1A5" w:rsidTr="008A477C">
        <w:trPr>
          <w:jc w:val="center"/>
        </w:trPr>
        <w:tc>
          <w:tcPr>
            <w:tcW w:w="1250" w:type="pct"/>
            <w:shd w:val="clear" w:color="auto" w:fill="auto"/>
          </w:tcPr>
          <w:p w14:paraId="1E734572" w14:textId="4CE4CDA0" w:rsidR="0009631F" w:rsidRPr="00985C26" w:rsidRDefault="0009631F" w:rsidP="00CC27B6">
            <w:pPr>
              <w:spacing w:line="276" w:lineRule="auto"/>
              <w:rPr>
                <w:rFonts w:cs="Arial"/>
                <w:sz w:val="24"/>
                <w:szCs w:val="24"/>
              </w:rPr>
            </w:pPr>
            <w:r w:rsidRPr="00985C26">
              <w:rPr>
                <w:rFonts w:cs="Arial"/>
                <w:sz w:val="24"/>
                <w:szCs w:val="24"/>
              </w:rPr>
              <w:t>Lynn Norwood</w:t>
            </w:r>
          </w:p>
        </w:tc>
        <w:tc>
          <w:tcPr>
            <w:tcW w:w="490" w:type="pct"/>
          </w:tcPr>
          <w:p w14:paraId="473BF9F6" w14:textId="2EFED917" w:rsidR="0009631F" w:rsidRPr="00985C26" w:rsidRDefault="0009631F" w:rsidP="00CC27B6">
            <w:pPr>
              <w:spacing w:line="276" w:lineRule="auto"/>
              <w:rPr>
                <w:rFonts w:cs="Arial"/>
                <w:sz w:val="24"/>
                <w:szCs w:val="24"/>
              </w:rPr>
            </w:pPr>
            <w:r w:rsidRPr="00985C26">
              <w:rPr>
                <w:rFonts w:cs="Arial"/>
                <w:sz w:val="24"/>
                <w:szCs w:val="24"/>
              </w:rPr>
              <w:t>LN</w:t>
            </w:r>
          </w:p>
        </w:tc>
        <w:tc>
          <w:tcPr>
            <w:tcW w:w="1958" w:type="pct"/>
            <w:shd w:val="clear" w:color="auto" w:fill="auto"/>
          </w:tcPr>
          <w:p w14:paraId="62F11A26" w14:textId="470D59CE" w:rsidR="0009631F" w:rsidRPr="00985C26" w:rsidRDefault="0009631F" w:rsidP="00CC27B6">
            <w:pPr>
              <w:spacing w:line="276" w:lineRule="auto"/>
              <w:rPr>
                <w:rFonts w:cs="Arial"/>
                <w:sz w:val="24"/>
                <w:szCs w:val="24"/>
              </w:rPr>
            </w:pPr>
            <w:r w:rsidRPr="00985C26">
              <w:rPr>
                <w:rFonts w:cs="Arial"/>
                <w:sz w:val="24"/>
                <w:szCs w:val="24"/>
              </w:rPr>
              <w:t>Senior Strategic Human Resources Manager</w:t>
            </w:r>
          </w:p>
        </w:tc>
        <w:tc>
          <w:tcPr>
            <w:tcW w:w="1302" w:type="pct"/>
          </w:tcPr>
          <w:p w14:paraId="2BB401AD" w14:textId="5A7EC09A" w:rsidR="0009631F" w:rsidRPr="00985C26" w:rsidRDefault="0009631F" w:rsidP="00CC27B6">
            <w:pPr>
              <w:spacing w:line="276" w:lineRule="auto"/>
              <w:rPr>
                <w:rFonts w:cs="Arial"/>
                <w:sz w:val="24"/>
                <w:szCs w:val="24"/>
              </w:rPr>
            </w:pPr>
            <w:r w:rsidRPr="00985C26">
              <w:rPr>
                <w:rFonts w:cs="Arial"/>
                <w:sz w:val="24"/>
                <w:szCs w:val="24"/>
              </w:rPr>
              <w:t>Chief Executives</w:t>
            </w:r>
          </w:p>
        </w:tc>
      </w:tr>
      <w:tr w:rsidR="0009631F" w:rsidRPr="007A5B14" w14:paraId="61EFD113" w14:textId="33B1118E" w:rsidTr="008A477C">
        <w:trPr>
          <w:jc w:val="center"/>
        </w:trPr>
        <w:tc>
          <w:tcPr>
            <w:tcW w:w="1250" w:type="pct"/>
            <w:shd w:val="clear" w:color="auto" w:fill="auto"/>
          </w:tcPr>
          <w:p w14:paraId="38BDEAB3" w14:textId="376C1904" w:rsidR="0009631F" w:rsidRPr="00985C26" w:rsidRDefault="0009631F" w:rsidP="00CC27B6">
            <w:pPr>
              <w:spacing w:line="276" w:lineRule="auto"/>
              <w:rPr>
                <w:rFonts w:cs="Arial"/>
                <w:sz w:val="24"/>
                <w:szCs w:val="24"/>
              </w:rPr>
            </w:pPr>
            <w:r w:rsidRPr="00985C26">
              <w:rPr>
                <w:rFonts w:cs="Arial"/>
                <w:sz w:val="24"/>
                <w:szCs w:val="24"/>
              </w:rPr>
              <w:t>Alan Taylor</w:t>
            </w:r>
          </w:p>
        </w:tc>
        <w:tc>
          <w:tcPr>
            <w:tcW w:w="490" w:type="pct"/>
          </w:tcPr>
          <w:p w14:paraId="68E1A39B" w14:textId="642B5BE7" w:rsidR="0009631F" w:rsidRPr="00985C26" w:rsidRDefault="0009631F" w:rsidP="00CC27B6">
            <w:pPr>
              <w:spacing w:line="276" w:lineRule="auto"/>
              <w:rPr>
                <w:rFonts w:cs="Arial"/>
                <w:sz w:val="24"/>
                <w:szCs w:val="24"/>
              </w:rPr>
            </w:pPr>
            <w:r w:rsidRPr="00985C26">
              <w:rPr>
                <w:rFonts w:cs="Arial"/>
                <w:sz w:val="24"/>
                <w:szCs w:val="24"/>
              </w:rPr>
              <w:t>AT</w:t>
            </w:r>
          </w:p>
        </w:tc>
        <w:tc>
          <w:tcPr>
            <w:tcW w:w="1958" w:type="pct"/>
            <w:shd w:val="clear" w:color="auto" w:fill="auto"/>
          </w:tcPr>
          <w:p w14:paraId="334E67C5" w14:textId="53EA40A4" w:rsidR="0009631F" w:rsidRPr="00985C26" w:rsidRDefault="0009631F" w:rsidP="00CC27B6">
            <w:pPr>
              <w:spacing w:line="276" w:lineRule="auto"/>
              <w:rPr>
                <w:rFonts w:cs="Arial"/>
                <w:sz w:val="24"/>
                <w:szCs w:val="24"/>
              </w:rPr>
            </w:pPr>
            <w:r w:rsidRPr="00985C26">
              <w:rPr>
                <w:rFonts w:cs="Arial"/>
                <w:sz w:val="24"/>
                <w:szCs w:val="24"/>
              </w:rPr>
              <w:t>Job Evaluation Manager</w:t>
            </w:r>
          </w:p>
        </w:tc>
        <w:tc>
          <w:tcPr>
            <w:tcW w:w="1302" w:type="pct"/>
          </w:tcPr>
          <w:p w14:paraId="2AFB47E8" w14:textId="4BAFB67A" w:rsidR="0009631F" w:rsidRPr="00985C26" w:rsidRDefault="0009631F" w:rsidP="00CC27B6">
            <w:pPr>
              <w:spacing w:line="276" w:lineRule="auto"/>
              <w:rPr>
                <w:rFonts w:cs="Arial"/>
                <w:sz w:val="24"/>
                <w:szCs w:val="24"/>
              </w:rPr>
            </w:pPr>
            <w:r w:rsidRPr="00985C26">
              <w:rPr>
                <w:rFonts w:cs="Arial"/>
                <w:sz w:val="24"/>
                <w:szCs w:val="24"/>
              </w:rPr>
              <w:t>Chief Executives</w:t>
            </w:r>
          </w:p>
        </w:tc>
      </w:tr>
      <w:tr w:rsidR="008A477C" w:rsidRPr="007A5B14" w14:paraId="25E75519" w14:textId="77777777" w:rsidTr="008A477C">
        <w:trPr>
          <w:jc w:val="center"/>
        </w:trPr>
        <w:tc>
          <w:tcPr>
            <w:tcW w:w="1250" w:type="pct"/>
            <w:shd w:val="clear" w:color="auto" w:fill="auto"/>
          </w:tcPr>
          <w:p w14:paraId="646C90FA" w14:textId="601D6B4A" w:rsidR="008A477C" w:rsidRPr="00985C26" w:rsidRDefault="008A477C" w:rsidP="00CC27B6">
            <w:pPr>
              <w:spacing w:line="276" w:lineRule="auto"/>
              <w:rPr>
                <w:rFonts w:cs="Arial"/>
                <w:sz w:val="24"/>
                <w:szCs w:val="24"/>
              </w:rPr>
            </w:pPr>
            <w:r w:rsidRPr="00985C26">
              <w:rPr>
                <w:rFonts w:cs="Arial"/>
                <w:sz w:val="24"/>
                <w:szCs w:val="24"/>
              </w:rPr>
              <w:t>Angela Anderson</w:t>
            </w:r>
          </w:p>
        </w:tc>
        <w:tc>
          <w:tcPr>
            <w:tcW w:w="490" w:type="pct"/>
          </w:tcPr>
          <w:p w14:paraId="3402A5E8" w14:textId="11F51CD6" w:rsidR="008A477C" w:rsidRPr="00985C26" w:rsidRDefault="008A477C" w:rsidP="00CC27B6">
            <w:pPr>
              <w:spacing w:line="276" w:lineRule="auto"/>
              <w:rPr>
                <w:rFonts w:cs="Arial"/>
                <w:sz w:val="24"/>
                <w:szCs w:val="24"/>
              </w:rPr>
            </w:pPr>
            <w:r w:rsidRPr="00985C26">
              <w:rPr>
                <w:rFonts w:cs="Arial"/>
                <w:sz w:val="24"/>
                <w:szCs w:val="24"/>
              </w:rPr>
              <w:t>AA</w:t>
            </w:r>
          </w:p>
        </w:tc>
        <w:tc>
          <w:tcPr>
            <w:tcW w:w="1958" w:type="pct"/>
            <w:shd w:val="clear" w:color="auto" w:fill="auto"/>
          </w:tcPr>
          <w:p w14:paraId="64A37C03" w14:textId="5200E248" w:rsidR="008A477C" w:rsidRPr="00985C26" w:rsidRDefault="008A477C" w:rsidP="00CC27B6">
            <w:pPr>
              <w:spacing w:line="276" w:lineRule="auto"/>
              <w:rPr>
                <w:rFonts w:cs="Arial"/>
                <w:color w:val="FF0000"/>
                <w:sz w:val="24"/>
                <w:szCs w:val="24"/>
              </w:rPr>
            </w:pPr>
            <w:r w:rsidRPr="00985C26">
              <w:rPr>
                <w:rFonts w:cs="Arial"/>
                <w:sz w:val="24"/>
                <w:szCs w:val="24"/>
              </w:rPr>
              <w:t>Senior Communications Officer</w:t>
            </w:r>
          </w:p>
        </w:tc>
        <w:tc>
          <w:tcPr>
            <w:tcW w:w="1302" w:type="pct"/>
          </w:tcPr>
          <w:p w14:paraId="6ED96AE9" w14:textId="6557A8E3" w:rsidR="008A477C" w:rsidRPr="00985C26" w:rsidRDefault="008A477C" w:rsidP="00CC27B6">
            <w:pPr>
              <w:spacing w:line="276" w:lineRule="auto"/>
              <w:rPr>
                <w:rFonts w:cs="Arial"/>
                <w:sz w:val="24"/>
                <w:szCs w:val="24"/>
              </w:rPr>
            </w:pPr>
            <w:r w:rsidRPr="00985C26">
              <w:rPr>
                <w:rFonts w:cs="Arial"/>
                <w:sz w:val="24"/>
                <w:szCs w:val="24"/>
              </w:rPr>
              <w:t>Chief Executives</w:t>
            </w:r>
          </w:p>
        </w:tc>
      </w:tr>
      <w:tr w:rsidR="0009631F" w:rsidRPr="007A5B14" w14:paraId="0F13096D" w14:textId="05026886" w:rsidTr="008A477C">
        <w:trPr>
          <w:jc w:val="center"/>
        </w:trPr>
        <w:tc>
          <w:tcPr>
            <w:tcW w:w="1250" w:type="pct"/>
            <w:shd w:val="clear" w:color="auto" w:fill="auto"/>
          </w:tcPr>
          <w:p w14:paraId="6F1CF8D1" w14:textId="2735457A" w:rsidR="0009631F" w:rsidRPr="00985C26" w:rsidRDefault="00287F16" w:rsidP="00CC27B6">
            <w:pPr>
              <w:spacing w:line="276" w:lineRule="auto"/>
              <w:rPr>
                <w:rFonts w:cs="Arial"/>
                <w:sz w:val="24"/>
                <w:szCs w:val="24"/>
              </w:rPr>
            </w:pPr>
            <w:r w:rsidRPr="00985C26">
              <w:rPr>
                <w:rFonts w:cs="Arial"/>
                <w:sz w:val="24"/>
                <w:szCs w:val="24"/>
              </w:rPr>
              <w:t>Andy Waddell</w:t>
            </w:r>
          </w:p>
        </w:tc>
        <w:tc>
          <w:tcPr>
            <w:tcW w:w="490" w:type="pct"/>
          </w:tcPr>
          <w:p w14:paraId="45826901" w14:textId="6939A94F" w:rsidR="0009631F" w:rsidRPr="00985C26" w:rsidRDefault="00287F16" w:rsidP="00CC27B6">
            <w:pPr>
              <w:spacing w:line="276" w:lineRule="auto"/>
              <w:rPr>
                <w:rFonts w:cs="Arial"/>
                <w:sz w:val="24"/>
                <w:szCs w:val="24"/>
              </w:rPr>
            </w:pPr>
            <w:r w:rsidRPr="00985C26">
              <w:rPr>
                <w:rFonts w:cs="Arial"/>
                <w:sz w:val="24"/>
                <w:szCs w:val="24"/>
              </w:rPr>
              <w:t>AW</w:t>
            </w:r>
          </w:p>
        </w:tc>
        <w:tc>
          <w:tcPr>
            <w:tcW w:w="1958" w:type="pct"/>
            <w:shd w:val="clear" w:color="auto" w:fill="auto"/>
          </w:tcPr>
          <w:p w14:paraId="3703279A" w14:textId="4488ABD4" w:rsidR="0009631F" w:rsidRPr="00985C26" w:rsidRDefault="00985C26" w:rsidP="00CC27B6">
            <w:pPr>
              <w:spacing w:line="276" w:lineRule="auto"/>
              <w:rPr>
                <w:rFonts w:cs="Arial"/>
                <w:color w:val="FF0000"/>
                <w:sz w:val="24"/>
                <w:szCs w:val="24"/>
              </w:rPr>
            </w:pPr>
            <w:r w:rsidRPr="00985C26">
              <w:rPr>
                <w:rFonts w:cs="Arial"/>
                <w:sz w:val="24"/>
                <w:szCs w:val="24"/>
              </w:rPr>
              <w:t>Director of City Operations</w:t>
            </w:r>
          </w:p>
        </w:tc>
        <w:tc>
          <w:tcPr>
            <w:tcW w:w="1302" w:type="pct"/>
          </w:tcPr>
          <w:p w14:paraId="48709CF8" w14:textId="20FA3680" w:rsidR="0009631F" w:rsidRPr="00985C26" w:rsidRDefault="0009631F" w:rsidP="00CC27B6">
            <w:pPr>
              <w:spacing w:line="276" w:lineRule="auto"/>
              <w:rPr>
                <w:rFonts w:cs="Arial"/>
                <w:sz w:val="24"/>
                <w:szCs w:val="24"/>
              </w:rPr>
            </w:pPr>
            <w:r w:rsidRPr="00985C26">
              <w:rPr>
                <w:rFonts w:cs="Arial"/>
                <w:sz w:val="24"/>
                <w:szCs w:val="24"/>
              </w:rPr>
              <w:t>Neighbourhoods, Regeneration and Sustainability</w:t>
            </w:r>
            <w:r w:rsidR="00837B05" w:rsidRPr="00985C26">
              <w:rPr>
                <w:rFonts w:cs="Arial"/>
                <w:sz w:val="24"/>
                <w:szCs w:val="24"/>
              </w:rPr>
              <w:t xml:space="preserve"> </w:t>
            </w:r>
          </w:p>
        </w:tc>
      </w:tr>
      <w:tr w:rsidR="0009631F" w:rsidRPr="007A5B14" w14:paraId="76877274" w14:textId="2342AA17" w:rsidTr="008A477C">
        <w:trPr>
          <w:jc w:val="center"/>
        </w:trPr>
        <w:tc>
          <w:tcPr>
            <w:tcW w:w="1250" w:type="pct"/>
            <w:shd w:val="clear" w:color="auto" w:fill="auto"/>
          </w:tcPr>
          <w:p w14:paraId="60940D75" w14:textId="6474ECDD" w:rsidR="0009631F" w:rsidRPr="00985C26" w:rsidRDefault="00DB32F7" w:rsidP="00CC27B6">
            <w:pPr>
              <w:spacing w:line="276" w:lineRule="auto"/>
              <w:rPr>
                <w:rFonts w:cs="Arial"/>
                <w:sz w:val="24"/>
                <w:szCs w:val="24"/>
              </w:rPr>
            </w:pPr>
            <w:r w:rsidRPr="00985C26">
              <w:rPr>
                <w:rFonts w:cs="Arial"/>
                <w:sz w:val="24"/>
                <w:szCs w:val="24"/>
              </w:rPr>
              <w:t>Derek Noble</w:t>
            </w:r>
          </w:p>
        </w:tc>
        <w:tc>
          <w:tcPr>
            <w:tcW w:w="490" w:type="pct"/>
          </w:tcPr>
          <w:p w14:paraId="2AD526A9" w14:textId="0A0C4FA8" w:rsidR="0009631F" w:rsidRPr="00985C26" w:rsidRDefault="00DB32F7" w:rsidP="00CC27B6">
            <w:pPr>
              <w:spacing w:line="276" w:lineRule="auto"/>
              <w:rPr>
                <w:rFonts w:cs="Arial"/>
                <w:sz w:val="24"/>
                <w:szCs w:val="24"/>
              </w:rPr>
            </w:pPr>
            <w:r w:rsidRPr="00985C26">
              <w:rPr>
                <w:rFonts w:cs="Arial"/>
                <w:sz w:val="24"/>
                <w:szCs w:val="24"/>
              </w:rPr>
              <w:t>DN</w:t>
            </w:r>
          </w:p>
        </w:tc>
        <w:tc>
          <w:tcPr>
            <w:tcW w:w="1958" w:type="pct"/>
            <w:shd w:val="clear" w:color="auto" w:fill="auto"/>
          </w:tcPr>
          <w:p w14:paraId="4E38DD1D" w14:textId="775BE676" w:rsidR="0009631F" w:rsidRPr="00985C26" w:rsidRDefault="00985C26" w:rsidP="00CC27B6">
            <w:pPr>
              <w:spacing w:line="276" w:lineRule="auto"/>
              <w:rPr>
                <w:rFonts w:cs="Arial"/>
                <w:sz w:val="24"/>
                <w:szCs w:val="24"/>
              </w:rPr>
            </w:pPr>
            <w:r w:rsidRPr="008C218D">
              <w:rPr>
                <w:rFonts w:cs="Arial"/>
                <w:sz w:val="24"/>
                <w:szCs w:val="24"/>
              </w:rPr>
              <w:t>Head of H</w:t>
            </w:r>
            <w:r w:rsidR="008C218D" w:rsidRPr="008C218D">
              <w:rPr>
                <w:rFonts w:cs="Arial"/>
                <w:sz w:val="24"/>
                <w:szCs w:val="24"/>
              </w:rPr>
              <w:t>uman Resources</w:t>
            </w:r>
            <w:r w:rsidR="008C218D">
              <w:t xml:space="preserve"> </w:t>
            </w:r>
          </w:p>
        </w:tc>
        <w:tc>
          <w:tcPr>
            <w:tcW w:w="1302" w:type="pct"/>
          </w:tcPr>
          <w:p w14:paraId="4F83FF95" w14:textId="41112EF8" w:rsidR="0009631F" w:rsidRPr="00985C26" w:rsidRDefault="0009631F" w:rsidP="00CC27B6">
            <w:pPr>
              <w:spacing w:line="276" w:lineRule="auto"/>
              <w:rPr>
                <w:rFonts w:cs="Arial"/>
                <w:sz w:val="24"/>
                <w:szCs w:val="24"/>
              </w:rPr>
            </w:pPr>
            <w:r w:rsidRPr="00985C26">
              <w:rPr>
                <w:rFonts w:cs="Arial"/>
                <w:sz w:val="24"/>
                <w:szCs w:val="24"/>
              </w:rPr>
              <w:t>Health and Social Care Partnership (HSCP)</w:t>
            </w:r>
          </w:p>
        </w:tc>
      </w:tr>
      <w:tr w:rsidR="0009631F" w:rsidRPr="007A5B14" w14:paraId="7740C531" w14:textId="15F0DF0F" w:rsidTr="008A477C">
        <w:trPr>
          <w:jc w:val="center"/>
        </w:trPr>
        <w:tc>
          <w:tcPr>
            <w:tcW w:w="1250" w:type="pct"/>
            <w:shd w:val="clear" w:color="auto" w:fill="auto"/>
          </w:tcPr>
          <w:p w14:paraId="422D4493" w14:textId="14FAB289" w:rsidR="0009631F" w:rsidRPr="00985C26" w:rsidRDefault="0009631F" w:rsidP="00CC27B6">
            <w:pPr>
              <w:spacing w:line="276" w:lineRule="auto"/>
              <w:rPr>
                <w:rFonts w:cs="Arial"/>
                <w:color w:val="FF0000"/>
                <w:sz w:val="24"/>
                <w:szCs w:val="24"/>
              </w:rPr>
            </w:pPr>
            <w:r w:rsidRPr="00985C26">
              <w:rPr>
                <w:rFonts w:cs="Arial"/>
                <w:sz w:val="24"/>
                <w:szCs w:val="24"/>
              </w:rPr>
              <w:t>Lorna Goldie</w:t>
            </w:r>
          </w:p>
        </w:tc>
        <w:tc>
          <w:tcPr>
            <w:tcW w:w="490" w:type="pct"/>
          </w:tcPr>
          <w:p w14:paraId="5DAC98E9" w14:textId="67BB9DF0" w:rsidR="0009631F" w:rsidRPr="00985C26" w:rsidRDefault="0009631F" w:rsidP="00CC27B6">
            <w:pPr>
              <w:spacing w:line="276" w:lineRule="auto"/>
              <w:rPr>
                <w:rFonts w:cs="Arial"/>
                <w:color w:val="FF0000"/>
                <w:sz w:val="24"/>
                <w:szCs w:val="24"/>
              </w:rPr>
            </w:pPr>
            <w:r w:rsidRPr="00985C26">
              <w:rPr>
                <w:rFonts w:cs="Arial"/>
                <w:sz w:val="24"/>
                <w:szCs w:val="24"/>
              </w:rPr>
              <w:t>LG</w:t>
            </w:r>
          </w:p>
        </w:tc>
        <w:tc>
          <w:tcPr>
            <w:tcW w:w="1958" w:type="pct"/>
            <w:shd w:val="clear" w:color="auto" w:fill="auto"/>
          </w:tcPr>
          <w:p w14:paraId="417316DC" w14:textId="3613455E" w:rsidR="0009631F" w:rsidRPr="00985C26" w:rsidRDefault="00376563" w:rsidP="00CC27B6">
            <w:pPr>
              <w:spacing w:line="276" w:lineRule="auto"/>
              <w:rPr>
                <w:rFonts w:cs="Arial"/>
                <w:color w:val="FF0000"/>
                <w:sz w:val="24"/>
                <w:szCs w:val="24"/>
              </w:rPr>
            </w:pPr>
            <w:r w:rsidRPr="00985C26">
              <w:rPr>
                <w:rFonts w:cs="Arial"/>
                <w:sz w:val="24"/>
                <w:szCs w:val="24"/>
              </w:rPr>
              <w:t>Head of Resources</w:t>
            </w:r>
          </w:p>
        </w:tc>
        <w:tc>
          <w:tcPr>
            <w:tcW w:w="1302" w:type="pct"/>
          </w:tcPr>
          <w:p w14:paraId="54A9F374" w14:textId="0DA63725" w:rsidR="0009631F" w:rsidRPr="00985C26" w:rsidRDefault="0009631F" w:rsidP="00CC27B6">
            <w:pPr>
              <w:spacing w:line="276" w:lineRule="auto"/>
              <w:rPr>
                <w:rFonts w:cs="Arial"/>
                <w:sz w:val="24"/>
                <w:szCs w:val="24"/>
              </w:rPr>
            </w:pPr>
            <w:r w:rsidRPr="00985C26">
              <w:rPr>
                <w:rFonts w:cs="Arial"/>
                <w:sz w:val="24"/>
                <w:szCs w:val="24"/>
              </w:rPr>
              <w:t>Education</w:t>
            </w:r>
          </w:p>
        </w:tc>
      </w:tr>
      <w:tr w:rsidR="00985C26" w:rsidRPr="007A5B14" w14:paraId="20FF81C3" w14:textId="77777777" w:rsidTr="008A477C">
        <w:trPr>
          <w:jc w:val="center"/>
        </w:trPr>
        <w:tc>
          <w:tcPr>
            <w:tcW w:w="1250" w:type="pct"/>
            <w:shd w:val="clear" w:color="auto" w:fill="auto"/>
          </w:tcPr>
          <w:p w14:paraId="621154FA" w14:textId="0610B8E1" w:rsidR="00985C26" w:rsidRPr="00985C26" w:rsidRDefault="00985C26" w:rsidP="00CC27B6">
            <w:pPr>
              <w:spacing w:line="276" w:lineRule="auto"/>
              <w:rPr>
                <w:rFonts w:cs="Arial"/>
                <w:sz w:val="24"/>
                <w:szCs w:val="24"/>
              </w:rPr>
            </w:pPr>
            <w:r w:rsidRPr="00985C26">
              <w:rPr>
                <w:rFonts w:cs="Arial"/>
                <w:sz w:val="24"/>
                <w:szCs w:val="24"/>
              </w:rPr>
              <w:t>Stephen Sawers</w:t>
            </w:r>
          </w:p>
        </w:tc>
        <w:tc>
          <w:tcPr>
            <w:tcW w:w="490" w:type="pct"/>
          </w:tcPr>
          <w:p w14:paraId="4DF5F4BA" w14:textId="445C634E" w:rsidR="00985C26" w:rsidRPr="00985C26" w:rsidRDefault="00985C26" w:rsidP="00CC27B6">
            <w:pPr>
              <w:spacing w:line="276" w:lineRule="auto"/>
              <w:rPr>
                <w:rFonts w:cs="Arial"/>
                <w:sz w:val="24"/>
                <w:szCs w:val="24"/>
              </w:rPr>
            </w:pPr>
            <w:r w:rsidRPr="00985C26">
              <w:rPr>
                <w:rFonts w:cs="Arial"/>
                <w:sz w:val="24"/>
                <w:szCs w:val="24"/>
              </w:rPr>
              <w:t>SS</w:t>
            </w:r>
          </w:p>
        </w:tc>
        <w:tc>
          <w:tcPr>
            <w:tcW w:w="1958" w:type="pct"/>
            <w:shd w:val="clear" w:color="auto" w:fill="auto"/>
          </w:tcPr>
          <w:p w14:paraId="6FBA71B6" w14:textId="73A609EB" w:rsidR="00985C26" w:rsidRPr="00985C26" w:rsidRDefault="00985C26" w:rsidP="00CC27B6">
            <w:pPr>
              <w:spacing w:line="276" w:lineRule="auto"/>
              <w:rPr>
                <w:rFonts w:cs="Arial"/>
                <w:sz w:val="24"/>
                <w:szCs w:val="24"/>
              </w:rPr>
            </w:pPr>
            <w:r w:rsidRPr="00985C26">
              <w:rPr>
                <w:rFonts w:cs="Arial"/>
                <w:sz w:val="24"/>
                <w:szCs w:val="24"/>
              </w:rPr>
              <w:t>Head of Service</w:t>
            </w:r>
          </w:p>
        </w:tc>
        <w:tc>
          <w:tcPr>
            <w:tcW w:w="1302" w:type="pct"/>
          </w:tcPr>
          <w:p w14:paraId="5EA953C4" w14:textId="25CC26B0" w:rsidR="00985C26" w:rsidRPr="00985C26" w:rsidRDefault="00985C26" w:rsidP="00CC27B6">
            <w:pPr>
              <w:spacing w:line="276" w:lineRule="auto"/>
              <w:rPr>
                <w:sz w:val="24"/>
                <w:szCs w:val="24"/>
              </w:rPr>
            </w:pPr>
            <w:r w:rsidRPr="00985C26">
              <w:rPr>
                <w:rFonts w:cs="Arial"/>
                <w:sz w:val="24"/>
                <w:szCs w:val="24"/>
              </w:rPr>
              <w:t>Financial Services</w:t>
            </w:r>
          </w:p>
        </w:tc>
      </w:tr>
      <w:tr w:rsidR="0009631F" w:rsidRPr="007A5B14" w14:paraId="3752D4C3" w14:textId="16ED7B0A" w:rsidTr="008A477C">
        <w:trPr>
          <w:jc w:val="center"/>
        </w:trPr>
        <w:tc>
          <w:tcPr>
            <w:tcW w:w="1250" w:type="pct"/>
            <w:shd w:val="clear" w:color="auto" w:fill="auto"/>
          </w:tcPr>
          <w:p w14:paraId="3011FCE0" w14:textId="0DF6445F" w:rsidR="0009631F" w:rsidRPr="00985C26" w:rsidRDefault="008A477C" w:rsidP="00CC27B6">
            <w:pPr>
              <w:spacing w:line="276" w:lineRule="auto"/>
              <w:rPr>
                <w:rFonts w:cs="Arial"/>
                <w:sz w:val="24"/>
                <w:szCs w:val="24"/>
              </w:rPr>
            </w:pPr>
            <w:r w:rsidRPr="00985C26">
              <w:rPr>
                <w:rFonts w:cs="Arial"/>
                <w:sz w:val="24"/>
                <w:szCs w:val="24"/>
              </w:rPr>
              <w:t>Sean Baillie</w:t>
            </w:r>
          </w:p>
        </w:tc>
        <w:tc>
          <w:tcPr>
            <w:tcW w:w="490" w:type="pct"/>
          </w:tcPr>
          <w:p w14:paraId="3D1EDCB1" w14:textId="7ACD3591" w:rsidR="0009631F" w:rsidRPr="00985C26" w:rsidRDefault="008A477C" w:rsidP="00CC27B6">
            <w:pPr>
              <w:spacing w:line="276" w:lineRule="auto"/>
              <w:rPr>
                <w:rFonts w:cs="Arial"/>
                <w:sz w:val="24"/>
                <w:szCs w:val="24"/>
              </w:rPr>
            </w:pPr>
            <w:r w:rsidRPr="00985C26">
              <w:rPr>
                <w:rFonts w:cs="Arial"/>
                <w:sz w:val="24"/>
                <w:szCs w:val="24"/>
              </w:rPr>
              <w:t>SB</w:t>
            </w:r>
          </w:p>
        </w:tc>
        <w:tc>
          <w:tcPr>
            <w:tcW w:w="1958" w:type="pct"/>
            <w:shd w:val="clear" w:color="auto" w:fill="auto"/>
          </w:tcPr>
          <w:p w14:paraId="6405386F" w14:textId="1C6EC3CD" w:rsidR="0009631F" w:rsidRPr="00985C26" w:rsidRDefault="008A477C" w:rsidP="00CC27B6">
            <w:pPr>
              <w:spacing w:line="276" w:lineRule="auto"/>
              <w:rPr>
                <w:sz w:val="24"/>
                <w:szCs w:val="24"/>
              </w:rPr>
            </w:pPr>
            <w:r w:rsidRPr="00985C26">
              <w:rPr>
                <w:rFonts w:cs="Arial"/>
                <w:sz w:val="24"/>
                <w:szCs w:val="24"/>
              </w:rPr>
              <w:t>GMB Lead</w:t>
            </w:r>
          </w:p>
        </w:tc>
        <w:tc>
          <w:tcPr>
            <w:tcW w:w="1302" w:type="pct"/>
          </w:tcPr>
          <w:p w14:paraId="2F95F691" w14:textId="77777777" w:rsidR="0009631F" w:rsidRPr="00985C26" w:rsidRDefault="0009631F" w:rsidP="00CC27B6">
            <w:pPr>
              <w:spacing w:line="276" w:lineRule="auto"/>
              <w:rPr>
                <w:sz w:val="24"/>
                <w:szCs w:val="24"/>
              </w:rPr>
            </w:pPr>
          </w:p>
        </w:tc>
      </w:tr>
      <w:tr w:rsidR="0009631F" w:rsidRPr="007A5B14" w14:paraId="6E29A07F" w14:textId="2720DA8A" w:rsidTr="008A477C">
        <w:trPr>
          <w:jc w:val="center"/>
        </w:trPr>
        <w:tc>
          <w:tcPr>
            <w:tcW w:w="1250" w:type="pct"/>
            <w:shd w:val="clear" w:color="auto" w:fill="auto"/>
          </w:tcPr>
          <w:p w14:paraId="56652A22" w14:textId="08D5351D" w:rsidR="0009631F" w:rsidRPr="00985C26" w:rsidRDefault="0009631F" w:rsidP="00CC27B6">
            <w:pPr>
              <w:spacing w:line="276" w:lineRule="auto"/>
              <w:rPr>
                <w:rFonts w:cs="Arial"/>
                <w:sz w:val="24"/>
                <w:szCs w:val="24"/>
              </w:rPr>
            </w:pPr>
            <w:r w:rsidRPr="00985C26">
              <w:rPr>
                <w:rFonts w:cs="Arial"/>
                <w:sz w:val="24"/>
                <w:szCs w:val="24"/>
              </w:rPr>
              <w:t>Geraldine Agbor</w:t>
            </w:r>
          </w:p>
        </w:tc>
        <w:tc>
          <w:tcPr>
            <w:tcW w:w="490" w:type="pct"/>
          </w:tcPr>
          <w:p w14:paraId="020E48A6" w14:textId="5871D613" w:rsidR="0009631F" w:rsidRPr="00985C26" w:rsidRDefault="0009631F" w:rsidP="00CC27B6">
            <w:pPr>
              <w:spacing w:line="276" w:lineRule="auto"/>
              <w:rPr>
                <w:rFonts w:cs="Arial"/>
                <w:sz w:val="24"/>
                <w:szCs w:val="24"/>
              </w:rPr>
            </w:pPr>
            <w:r w:rsidRPr="00985C26">
              <w:rPr>
                <w:rFonts w:cs="Arial"/>
                <w:sz w:val="24"/>
                <w:szCs w:val="24"/>
              </w:rPr>
              <w:t>GA</w:t>
            </w:r>
          </w:p>
        </w:tc>
        <w:tc>
          <w:tcPr>
            <w:tcW w:w="1958" w:type="pct"/>
            <w:shd w:val="clear" w:color="auto" w:fill="auto"/>
          </w:tcPr>
          <w:p w14:paraId="7905CA2A" w14:textId="63C0C9E7" w:rsidR="0009631F" w:rsidRPr="00985C26" w:rsidRDefault="0009631F" w:rsidP="00CC27B6">
            <w:pPr>
              <w:spacing w:line="276" w:lineRule="auto"/>
              <w:rPr>
                <w:rFonts w:cs="Arial"/>
                <w:sz w:val="24"/>
                <w:szCs w:val="24"/>
              </w:rPr>
            </w:pPr>
            <w:r w:rsidRPr="00985C26">
              <w:rPr>
                <w:sz w:val="24"/>
                <w:szCs w:val="24"/>
              </w:rPr>
              <w:t>GMB Representative</w:t>
            </w:r>
          </w:p>
        </w:tc>
        <w:tc>
          <w:tcPr>
            <w:tcW w:w="1302" w:type="pct"/>
          </w:tcPr>
          <w:p w14:paraId="326CAD03" w14:textId="77777777" w:rsidR="0009631F" w:rsidRPr="00985C26" w:rsidRDefault="0009631F" w:rsidP="00CC27B6">
            <w:pPr>
              <w:spacing w:line="276" w:lineRule="auto"/>
              <w:rPr>
                <w:sz w:val="24"/>
                <w:szCs w:val="24"/>
              </w:rPr>
            </w:pPr>
          </w:p>
        </w:tc>
      </w:tr>
      <w:tr w:rsidR="0009631F" w:rsidRPr="007A5B14" w14:paraId="2E3A26B5" w14:textId="0E360D81" w:rsidTr="008A477C">
        <w:trPr>
          <w:jc w:val="center"/>
        </w:trPr>
        <w:tc>
          <w:tcPr>
            <w:tcW w:w="1250" w:type="pct"/>
            <w:shd w:val="clear" w:color="auto" w:fill="auto"/>
          </w:tcPr>
          <w:p w14:paraId="0B0DD089" w14:textId="61B05BFD" w:rsidR="0009631F" w:rsidRPr="00985C26" w:rsidRDefault="0009631F" w:rsidP="00CC27B6">
            <w:pPr>
              <w:spacing w:line="276" w:lineRule="auto"/>
              <w:rPr>
                <w:rFonts w:cs="Arial"/>
                <w:sz w:val="24"/>
                <w:szCs w:val="24"/>
              </w:rPr>
            </w:pPr>
            <w:r w:rsidRPr="00985C26">
              <w:rPr>
                <w:rFonts w:cs="Arial"/>
                <w:sz w:val="24"/>
                <w:szCs w:val="24"/>
              </w:rPr>
              <w:t>Brian Smith</w:t>
            </w:r>
          </w:p>
        </w:tc>
        <w:tc>
          <w:tcPr>
            <w:tcW w:w="490" w:type="pct"/>
          </w:tcPr>
          <w:p w14:paraId="2C05BEA9" w14:textId="53A86519" w:rsidR="0009631F" w:rsidRPr="00985C26" w:rsidRDefault="0009631F" w:rsidP="00CC27B6">
            <w:pPr>
              <w:spacing w:line="276" w:lineRule="auto"/>
              <w:rPr>
                <w:rFonts w:cs="Arial"/>
                <w:sz w:val="24"/>
                <w:szCs w:val="24"/>
              </w:rPr>
            </w:pPr>
            <w:r w:rsidRPr="00985C26">
              <w:rPr>
                <w:rFonts w:cs="Arial"/>
                <w:sz w:val="24"/>
                <w:szCs w:val="24"/>
              </w:rPr>
              <w:t>BS</w:t>
            </w:r>
          </w:p>
        </w:tc>
        <w:tc>
          <w:tcPr>
            <w:tcW w:w="1958" w:type="pct"/>
            <w:shd w:val="clear" w:color="auto" w:fill="auto"/>
          </w:tcPr>
          <w:p w14:paraId="73701748" w14:textId="1238DB56" w:rsidR="0009631F" w:rsidRPr="00985C26" w:rsidRDefault="0009631F" w:rsidP="00CC27B6">
            <w:pPr>
              <w:spacing w:line="276" w:lineRule="auto"/>
              <w:rPr>
                <w:sz w:val="24"/>
                <w:szCs w:val="24"/>
              </w:rPr>
            </w:pPr>
            <w:r w:rsidRPr="00985C26">
              <w:rPr>
                <w:sz w:val="24"/>
                <w:szCs w:val="24"/>
              </w:rPr>
              <w:t>Unison Lead</w:t>
            </w:r>
          </w:p>
        </w:tc>
        <w:tc>
          <w:tcPr>
            <w:tcW w:w="1302" w:type="pct"/>
          </w:tcPr>
          <w:p w14:paraId="4AB0D74B" w14:textId="77777777" w:rsidR="0009631F" w:rsidRPr="00985C26" w:rsidRDefault="0009631F" w:rsidP="00CC27B6">
            <w:pPr>
              <w:spacing w:line="276" w:lineRule="auto"/>
              <w:rPr>
                <w:sz w:val="24"/>
                <w:szCs w:val="24"/>
              </w:rPr>
            </w:pPr>
          </w:p>
        </w:tc>
      </w:tr>
      <w:tr w:rsidR="00985C26" w:rsidRPr="007A5B14" w14:paraId="444AD63B" w14:textId="77777777" w:rsidTr="008A477C">
        <w:trPr>
          <w:jc w:val="center"/>
        </w:trPr>
        <w:tc>
          <w:tcPr>
            <w:tcW w:w="1250" w:type="pct"/>
            <w:shd w:val="clear" w:color="auto" w:fill="auto"/>
          </w:tcPr>
          <w:p w14:paraId="26999F32" w14:textId="4F25C702" w:rsidR="00985C26" w:rsidRPr="00985C26" w:rsidRDefault="00985C26" w:rsidP="00CC27B6">
            <w:pPr>
              <w:spacing w:line="276" w:lineRule="auto"/>
              <w:rPr>
                <w:rFonts w:cs="Arial"/>
                <w:sz w:val="24"/>
                <w:szCs w:val="24"/>
              </w:rPr>
            </w:pPr>
            <w:r w:rsidRPr="00985C26">
              <w:rPr>
                <w:rFonts w:cs="Arial"/>
                <w:sz w:val="24"/>
                <w:szCs w:val="24"/>
              </w:rPr>
              <w:t>Jean Kilpatrick</w:t>
            </w:r>
          </w:p>
        </w:tc>
        <w:tc>
          <w:tcPr>
            <w:tcW w:w="490" w:type="pct"/>
          </w:tcPr>
          <w:p w14:paraId="6E7D196D" w14:textId="21475E0D" w:rsidR="00985C26" w:rsidRPr="00985C26" w:rsidRDefault="00985C26" w:rsidP="00CC27B6">
            <w:pPr>
              <w:spacing w:line="276" w:lineRule="auto"/>
              <w:rPr>
                <w:rFonts w:cs="Arial"/>
                <w:sz w:val="24"/>
                <w:szCs w:val="24"/>
              </w:rPr>
            </w:pPr>
            <w:r w:rsidRPr="00985C26">
              <w:rPr>
                <w:rFonts w:cs="Arial"/>
                <w:sz w:val="24"/>
                <w:szCs w:val="24"/>
              </w:rPr>
              <w:t>JK</w:t>
            </w:r>
          </w:p>
        </w:tc>
        <w:tc>
          <w:tcPr>
            <w:tcW w:w="1958" w:type="pct"/>
            <w:shd w:val="clear" w:color="auto" w:fill="auto"/>
          </w:tcPr>
          <w:p w14:paraId="504569C0" w14:textId="7769F1E2" w:rsidR="00985C26" w:rsidRPr="00985C26" w:rsidRDefault="00985C26" w:rsidP="00CC27B6">
            <w:pPr>
              <w:spacing w:line="276" w:lineRule="auto"/>
              <w:rPr>
                <w:sz w:val="24"/>
                <w:szCs w:val="24"/>
              </w:rPr>
            </w:pPr>
            <w:r w:rsidRPr="00985C26">
              <w:rPr>
                <w:sz w:val="24"/>
                <w:szCs w:val="24"/>
              </w:rPr>
              <w:t>Unison Representative</w:t>
            </w:r>
          </w:p>
        </w:tc>
        <w:tc>
          <w:tcPr>
            <w:tcW w:w="1302" w:type="pct"/>
          </w:tcPr>
          <w:p w14:paraId="11F6CE08" w14:textId="77777777" w:rsidR="00985C26" w:rsidRPr="00985C26" w:rsidRDefault="00985C26" w:rsidP="00CC27B6">
            <w:pPr>
              <w:spacing w:line="276" w:lineRule="auto"/>
              <w:rPr>
                <w:sz w:val="24"/>
                <w:szCs w:val="24"/>
              </w:rPr>
            </w:pPr>
          </w:p>
        </w:tc>
      </w:tr>
      <w:tr w:rsidR="0009631F" w:rsidRPr="007A5B14" w14:paraId="1AEBF066" w14:textId="0AB43DEB" w:rsidTr="008A477C">
        <w:trPr>
          <w:jc w:val="center"/>
        </w:trPr>
        <w:tc>
          <w:tcPr>
            <w:tcW w:w="1250" w:type="pct"/>
            <w:shd w:val="clear" w:color="auto" w:fill="auto"/>
          </w:tcPr>
          <w:p w14:paraId="1C1FBC45" w14:textId="180FC05F" w:rsidR="0009631F" w:rsidRPr="00985C26" w:rsidRDefault="008A477C" w:rsidP="00CC27B6">
            <w:pPr>
              <w:spacing w:line="276" w:lineRule="auto"/>
              <w:rPr>
                <w:rFonts w:cs="Arial"/>
                <w:color w:val="FF0000"/>
                <w:sz w:val="24"/>
                <w:szCs w:val="24"/>
              </w:rPr>
            </w:pPr>
            <w:r w:rsidRPr="00985C26">
              <w:rPr>
                <w:rFonts w:cs="Arial"/>
                <w:sz w:val="24"/>
                <w:szCs w:val="24"/>
              </w:rPr>
              <w:t>Sylvia Haughney</w:t>
            </w:r>
          </w:p>
        </w:tc>
        <w:tc>
          <w:tcPr>
            <w:tcW w:w="490" w:type="pct"/>
          </w:tcPr>
          <w:p w14:paraId="08866B87" w14:textId="1AAF2307" w:rsidR="0009631F" w:rsidRPr="00985C26" w:rsidRDefault="008A477C" w:rsidP="00CC27B6">
            <w:pPr>
              <w:spacing w:line="276" w:lineRule="auto"/>
              <w:rPr>
                <w:rFonts w:cs="Arial"/>
                <w:color w:val="FF0000"/>
                <w:sz w:val="24"/>
                <w:szCs w:val="24"/>
              </w:rPr>
            </w:pPr>
            <w:r w:rsidRPr="00985C26">
              <w:rPr>
                <w:rFonts w:cs="Arial"/>
                <w:sz w:val="24"/>
                <w:szCs w:val="24"/>
              </w:rPr>
              <w:t>SH</w:t>
            </w:r>
          </w:p>
        </w:tc>
        <w:tc>
          <w:tcPr>
            <w:tcW w:w="1958" w:type="pct"/>
            <w:shd w:val="clear" w:color="auto" w:fill="auto"/>
          </w:tcPr>
          <w:p w14:paraId="27D7BFF5" w14:textId="029D7A05" w:rsidR="0009631F" w:rsidRPr="00985C26" w:rsidRDefault="008A477C" w:rsidP="00CC27B6">
            <w:pPr>
              <w:spacing w:line="276" w:lineRule="auto"/>
              <w:rPr>
                <w:rFonts w:cs="Arial"/>
                <w:color w:val="FF0000"/>
                <w:sz w:val="24"/>
                <w:szCs w:val="24"/>
              </w:rPr>
            </w:pPr>
            <w:r w:rsidRPr="00985C26">
              <w:rPr>
                <w:sz w:val="24"/>
                <w:szCs w:val="24"/>
              </w:rPr>
              <w:t>Unison Representative</w:t>
            </w:r>
          </w:p>
        </w:tc>
        <w:tc>
          <w:tcPr>
            <w:tcW w:w="1302" w:type="pct"/>
          </w:tcPr>
          <w:p w14:paraId="3FB82767" w14:textId="77777777" w:rsidR="0009631F" w:rsidRPr="00985C26" w:rsidRDefault="0009631F" w:rsidP="00CC27B6">
            <w:pPr>
              <w:spacing w:line="276" w:lineRule="auto"/>
              <w:rPr>
                <w:rFonts w:cs="Arial"/>
                <w:sz w:val="24"/>
                <w:szCs w:val="24"/>
              </w:rPr>
            </w:pPr>
          </w:p>
        </w:tc>
      </w:tr>
      <w:tr w:rsidR="008A477C" w:rsidRPr="007A5B14" w14:paraId="10DC4B63" w14:textId="77777777" w:rsidTr="008A477C">
        <w:trPr>
          <w:jc w:val="center"/>
        </w:trPr>
        <w:tc>
          <w:tcPr>
            <w:tcW w:w="1250" w:type="pct"/>
            <w:shd w:val="clear" w:color="auto" w:fill="auto"/>
          </w:tcPr>
          <w:p w14:paraId="3DC66DE1" w14:textId="051581D4" w:rsidR="008A477C" w:rsidRPr="00985C26" w:rsidRDefault="008A477C" w:rsidP="00CC27B6">
            <w:pPr>
              <w:spacing w:line="276" w:lineRule="auto"/>
              <w:rPr>
                <w:rFonts w:cs="Arial"/>
                <w:sz w:val="24"/>
                <w:szCs w:val="24"/>
              </w:rPr>
            </w:pPr>
            <w:r w:rsidRPr="00985C26">
              <w:rPr>
                <w:rFonts w:cs="Arial"/>
                <w:sz w:val="24"/>
                <w:szCs w:val="24"/>
              </w:rPr>
              <w:t>Wendy Dunsmore</w:t>
            </w:r>
          </w:p>
        </w:tc>
        <w:tc>
          <w:tcPr>
            <w:tcW w:w="490" w:type="pct"/>
          </w:tcPr>
          <w:p w14:paraId="00723632" w14:textId="53DB8FCC" w:rsidR="008A477C" w:rsidRPr="00985C26" w:rsidRDefault="008A477C" w:rsidP="00CC27B6">
            <w:pPr>
              <w:spacing w:line="276" w:lineRule="auto"/>
              <w:rPr>
                <w:rFonts w:cs="Arial"/>
                <w:sz w:val="24"/>
                <w:szCs w:val="24"/>
              </w:rPr>
            </w:pPr>
            <w:r w:rsidRPr="00985C26">
              <w:rPr>
                <w:rFonts w:cs="Arial"/>
                <w:sz w:val="24"/>
                <w:szCs w:val="24"/>
              </w:rPr>
              <w:t>WD</w:t>
            </w:r>
          </w:p>
        </w:tc>
        <w:tc>
          <w:tcPr>
            <w:tcW w:w="1958" w:type="pct"/>
            <w:shd w:val="clear" w:color="auto" w:fill="auto"/>
          </w:tcPr>
          <w:p w14:paraId="3895CD65" w14:textId="309B7B5D" w:rsidR="008A477C" w:rsidRPr="00985C26" w:rsidRDefault="008A477C" w:rsidP="00CC27B6">
            <w:pPr>
              <w:spacing w:line="276" w:lineRule="auto"/>
              <w:rPr>
                <w:rFonts w:cs="Arial"/>
                <w:sz w:val="24"/>
                <w:szCs w:val="24"/>
              </w:rPr>
            </w:pPr>
            <w:r w:rsidRPr="00985C26">
              <w:rPr>
                <w:rFonts w:cs="Arial"/>
                <w:sz w:val="24"/>
                <w:szCs w:val="24"/>
              </w:rPr>
              <w:t>Unite Lead</w:t>
            </w:r>
          </w:p>
        </w:tc>
        <w:tc>
          <w:tcPr>
            <w:tcW w:w="1302" w:type="pct"/>
          </w:tcPr>
          <w:p w14:paraId="65F55C21" w14:textId="77777777" w:rsidR="008A477C" w:rsidRPr="00985C26" w:rsidRDefault="008A477C" w:rsidP="00CC27B6">
            <w:pPr>
              <w:spacing w:line="276" w:lineRule="auto"/>
              <w:rPr>
                <w:rFonts w:cs="Arial"/>
                <w:sz w:val="24"/>
                <w:szCs w:val="24"/>
              </w:rPr>
            </w:pPr>
          </w:p>
        </w:tc>
      </w:tr>
      <w:tr w:rsidR="00F06E98" w:rsidRPr="007A5B14" w14:paraId="14CD90A2" w14:textId="77777777" w:rsidTr="008A477C">
        <w:trPr>
          <w:jc w:val="center"/>
        </w:trPr>
        <w:tc>
          <w:tcPr>
            <w:tcW w:w="1250" w:type="pct"/>
            <w:shd w:val="clear" w:color="auto" w:fill="auto"/>
          </w:tcPr>
          <w:p w14:paraId="340B8876" w14:textId="5C47C112" w:rsidR="00F06E98" w:rsidRPr="00985C26" w:rsidRDefault="00F06E98" w:rsidP="00CC27B6">
            <w:pPr>
              <w:spacing w:line="276" w:lineRule="auto"/>
              <w:rPr>
                <w:rFonts w:cs="Arial"/>
                <w:sz w:val="24"/>
                <w:szCs w:val="24"/>
              </w:rPr>
            </w:pPr>
            <w:r w:rsidRPr="00985C26">
              <w:rPr>
                <w:rFonts w:cs="Arial"/>
                <w:sz w:val="24"/>
                <w:szCs w:val="24"/>
              </w:rPr>
              <w:t>Rosie Docherty</w:t>
            </w:r>
          </w:p>
        </w:tc>
        <w:tc>
          <w:tcPr>
            <w:tcW w:w="490" w:type="pct"/>
          </w:tcPr>
          <w:p w14:paraId="397EE864" w14:textId="1552C8E0" w:rsidR="00F06E98" w:rsidRPr="00985C26" w:rsidRDefault="00F06E98" w:rsidP="00CC27B6">
            <w:pPr>
              <w:spacing w:line="276" w:lineRule="auto"/>
              <w:rPr>
                <w:rFonts w:cs="Arial"/>
                <w:sz w:val="24"/>
                <w:szCs w:val="24"/>
              </w:rPr>
            </w:pPr>
            <w:r w:rsidRPr="00985C26">
              <w:rPr>
                <w:rFonts w:cs="Arial"/>
                <w:sz w:val="24"/>
                <w:szCs w:val="24"/>
              </w:rPr>
              <w:t>RD</w:t>
            </w:r>
          </w:p>
        </w:tc>
        <w:tc>
          <w:tcPr>
            <w:tcW w:w="1958" w:type="pct"/>
            <w:shd w:val="clear" w:color="auto" w:fill="auto"/>
          </w:tcPr>
          <w:p w14:paraId="54A60FC8" w14:textId="2D16C2AE" w:rsidR="00F06E98" w:rsidRPr="00985C26" w:rsidRDefault="00F06E98" w:rsidP="00CC27B6">
            <w:pPr>
              <w:spacing w:line="276" w:lineRule="auto"/>
              <w:rPr>
                <w:rFonts w:cs="Arial"/>
                <w:sz w:val="24"/>
                <w:szCs w:val="24"/>
              </w:rPr>
            </w:pPr>
            <w:r w:rsidRPr="00985C26">
              <w:rPr>
                <w:rFonts w:cs="Arial"/>
                <w:sz w:val="24"/>
                <w:szCs w:val="24"/>
              </w:rPr>
              <w:t>External Independent Job Evaluation Technical Advisor</w:t>
            </w:r>
          </w:p>
        </w:tc>
        <w:tc>
          <w:tcPr>
            <w:tcW w:w="1302" w:type="pct"/>
          </w:tcPr>
          <w:p w14:paraId="01B84221" w14:textId="77777777" w:rsidR="00F06E98" w:rsidRPr="00985C26" w:rsidRDefault="00F06E98" w:rsidP="00CC27B6">
            <w:pPr>
              <w:spacing w:line="276" w:lineRule="auto"/>
              <w:rPr>
                <w:rFonts w:cs="Arial"/>
                <w:sz w:val="24"/>
                <w:szCs w:val="24"/>
              </w:rPr>
            </w:pPr>
          </w:p>
        </w:tc>
      </w:tr>
      <w:tr w:rsidR="0009631F" w:rsidRPr="007A5B14" w14:paraId="1BAB8FAC" w14:textId="16CC7BC1" w:rsidTr="008A477C">
        <w:trPr>
          <w:jc w:val="center"/>
        </w:trPr>
        <w:tc>
          <w:tcPr>
            <w:tcW w:w="1250" w:type="pct"/>
            <w:shd w:val="clear" w:color="auto" w:fill="auto"/>
          </w:tcPr>
          <w:p w14:paraId="7EC81460" w14:textId="5EBA4CBC" w:rsidR="0009631F" w:rsidRPr="007A5B14" w:rsidRDefault="0009631F" w:rsidP="00CC27B6">
            <w:pPr>
              <w:spacing w:line="276" w:lineRule="auto"/>
              <w:rPr>
                <w:rFonts w:cs="Arial"/>
                <w:sz w:val="24"/>
                <w:szCs w:val="24"/>
              </w:rPr>
            </w:pPr>
            <w:r w:rsidRPr="007A5B14">
              <w:rPr>
                <w:rFonts w:cs="Arial"/>
                <w:sz w:val="24"/>
                <w:szCs w:val="24"/>
              </w:rPr>
              <w:t>Julie Emley</w:t>
            </w:r>
          </w:p>
        </w:tc>
        <w:tc>
          <w:tcPr>
            <w:tcW w:w="490" w:type="pct"/>
          </w:tcPr>
          <w:p w14:paraId="5CC29505" w14:textId="73E96845" w:rsidR="0009631F" w:rsidRPr="007A5B14" w:rsidRDefault="0009631F" w:rsidP="00CC27B6">
            <w:pPr>
              <w:spacing w:line="276" w:lineRule="auto"/>
              <w:rPr>
                <w:rFonts w:cs="Arial"/>
                <w:sz w:val="24"/>
                <w:szCs w:val="24"/>
              </w:rPr>
            </w:pPr>
            <w:r w:rsidRPr="007A5B14">
              <w:rPr>
                <w:rFonts w:cs="Arial"/>
                <w:sz w:val="24"/>
                <w:szCs w:val="24"/>
              </w:rPr>
              <w:t>JE</w:t>
            </w:r>
          </w:p>
        </w:tc>
        <w:tc>
          <w:tcPr>
            <w:tcW w:w="1958" w:type="pct"/>
            <w:shd w:val="clear" w:color="auto" w:fill="auto"/>
          </w:tcPr>
          <w:p w14:paraId="2FDBBB42" w14:textId="1A934985" w:rsidR="0009631F" w:rsidRPr="007A5B14" w:rsidRDefault="0009631F" w:rsidP="00CC27B6">
            <w:pPr>
              <w:spacing w:line="276" w:lineRule="auto"/>
              <w:rPr>
                <w:rFonts w:cs="Arial"/>
                <w:sz w:val="24"/>
                <w:szCs w:val="24"/>
              </w:rPr>
            </w:pPr>
            <w:r w:rsidRPr="007A5B14">
              <w:rPr>
                <w:rFonts w:cs="Arial"/>
                <w:sz w:val="24"/>
                <w:szCs w:val="24"/>
              </w:rPr>
              <w:t>Notes</w:t>
            </w:r>
          </w:p>
        </w:tc>
        <w:tc>
          <w:tcPr>
            <w:tcW w:w="1302" w:type="pct"/>
          </w:tcPr>
          <w:p w14:paraId="3DB44CB7" w14:textId="2EF83AB1" w:rsidR="0009631F" w:rsidRPr="007A5B14" w:rsidRDefault="0009631F" w:rsidP="00CC27B6">
            <w:pPr>
              <w:spacing w:line="276" w:lineRule="auto"/>
              <w:rPr>
                <w:rFonts w:cs="Arial"/>
                <w:sz w:val="24"/>
                <w:szCs w:val="24"/>
              </w:rPr>
            </w:pPr>
            <w:r w:rsidRPr="00771709">
              <w:rPr>
                <w:rFonts w:cs="Arial"/>
                <w:sz w:val="24"/>
                <w:szCs w:val="24"/>
              </w:rPr>
              <w:t>Chief Executive</w:t>
            </w:r>
            <w:r>
              <w:rPr>
                <w:rFonts w:cs="Arial"/>
                <w:sz w:val="24"/>
                <w:szCs w:val="24"/>
              </w:rPr>
              <w:t>s</w:t>
            </w:r>
          </w:p>
        </w:tc>
      </w:tr>
    </w:tbl>
    <w:p w14:paraId="0A309CBB" w14:textId="77777777" w:rsidR="00DF33D0" w:rsidRDefault="00DF33D0" w:rsidP="00CC27B6">
      <w:pPr>
        <w:spacing w:line="276" w:lineRule="auto"/>
        <w:jc w:val="both"/>
        <w:rPr>
          <w:rFonts w:cs="Arial"/>
          <w:b/>
          <w:color w:val="00B050"/>
          <w:sz w:val="20"/>
          <w:szCs w:val="20"/>
        </w:rPr>
      </w:pPr>
    </w:p>
    <w:tbl>
      <w:tblPr>
        <w:tblStyle w:val="TableGrid"/>
        <w:tblW w:w="0" w:type="auto"/>
        <w:tblLook w:val="04A0" w:firstRow="1" w:lastRow="0" w:firstColumn="1" w:lastColumn="0" w:noHBand="0" w:noVBand="1"/>
      </w:tblPr>
      <w:tblGrid>
        <w:gridCol w:w="2259"/>
        <w:gridCol w:w="884"/>
        <w:gridCol w:w="3529"/>
        <w:gridCol w:w="2354"/>
      </w:tblGrid>
      <w:tr w:rsidR="0009631F" w:rsidRPr="007A5B14" w14:paraId="3958FE2A" w14:textId="71C80F14" w:rsidTr="008A477C">
        <w:tc>
          <w:tcPr>
            <w:tcW w:w="2259" w:type="dxa"/>
            <w:tcBorders>
              <w:top w:val="nil"/>
              <w:left w:val="nil"/>
              <w:bottom w:val="single" w:sz="4" w:space="0" w:color="auto"/>
              <w:right w:val="nil"/>
            </w:tcBorders>
          </w:tcPr>
          <w:p w14:paraId="0D07D954" w14:textId="77777777" w:rsidR="0009631F" w:rsidRPr="007A5B14" w:rsidRDefault="0009631F" w:rsidP="00CC27B6">
            <w:pPr>
              <w:spacing w:line="276" w:lineRule="auto"/>
              <w:jc w:val="both"/>
              <w:rPr>
                <w:rFonts w:cs="Arial"/>
                <w:b/>
                <w:color w:val="00B050"/>
                <w:sz w:val="24"/>
                <w:szCs w:val="24"/>
              </w:rPr>
            </w:pPr>
            <w:r w:rsidRPr="007A5B14">
              <w:rPr>
                <w:rFonts w:cs="Arial"/>
                <w:b/>
                <w:sz w:val="24"/>
                <w:szCs w:val="24"/>
              </w:rPr>
              <w:t>Apologies:</w:t>
            </w:r>
          </w:p>
        </w:tc>
        <w:tc>
          <w:tcPr>
            <w:tcW w:w="884" w:type="dxa"/>
            <w:tcBorders>
              <w:top w:val="nil"/>
              <w:left w:val="nil"/>
              <w:bottom w:val="single" w:sz="4" w:space="0" w:color="auto"/>
              <w:right w:val="nil"/>
            </w:tcBorders>
          </w:tcPr>
          <w:p w14:paraId="01291C99" w14:textId="77777777" w:rsidR="0009631F" w:rsidRPr="007A5B14" w:rsidRDefault="0009631F" w:rsidP="00CC27B6">
            <w:pPr>
              <w:spacing w:line="276" w:lineRule="auto"/>
              <w:jc w:val="both"/>
              <w:rPr>
                <w:rFonts w:cs="Arial"/>
                <w:b/>
                <w:color w:val="00B050"/>
                <w:sz w:val="24"/>
                <w:szCs w:val="24"/>
              </w:rPr>
            </w:pPr>
          </w:p>
        </w:tc>
        <w:tc>
          <w:tcPr>
            <w:tcW w:w="3529" w:type="dxa"/>
            <w:tcBorders>
              <w:top w:val="nil"/>
              <w:left w:val="nil"/>
              <w:bottom w:val="single" w:sz="4" w:space="0" w:color="auto"/>
              <w:right w:val="nil"/>
            </w:tcBorders>
          </w:tcPr>
          <w:p w14:paraId="64B2C5BE" w14:textId="6C1216F6" w:rsidR="0009631F" w:rsidRPr="007A5B14" w:rsidRDefault="0009631F" w:rsidP="00CC27B6">
            <w:pPr>
              <w:spacing w:line="276" w:lineRule="auto"/>
              <w:jc w:val="both"/>
              <w:rPr>
                <w:rFonts w:cs="Arial"/>
                <w:b/>
                <w:color w:val="00B050"/>
                <w:sz w:val="24"/>
                <w:szCs w:val="24"/>
              </w:rPr>
            </w:pPr>
          </w:p>
        </w:tc>
        <w:tc>
          <w:tcPr>
            <w:tcW w:w="2354" w:type="dxa"/>
            <w:tcBorders>
              <w:top w:val="nil"/>
              <w:left w:val="nil"/>
              <w:bottom w:val="single" w:sz="4" w:space="0" w:color="auto"/>
              <w:right w:val="nil"/>
            </w:tcBorders>
          </w:tcPr>
          <w:p w14:paraId="22F76BF4" w14:textId="77777777" w:rsidR="0009631F" w:rsidRPr="007A5B14" w:rsidRDefault="0009631F" w:rsidP="00CC27B6">
            <w:pPr>
              <w:spacing w:line="276" w:lineRule="auto"/>
              <w:jc w:val="both"/>
              <w:rPr>
                <w:rFonts w:cs="Arial"/>
                <w:b/>
                <w:color w:val="00B050"/>
                <w:sz w:val="24"/>
                <w:szCs w:val="24"/>
              </w:rPr>
            </w:pPr>
          </w:p>
        </w:tc>
      </w:tr>
      <w:tr w:rsidR="0009631F" w:rsidRPr="007A5B14" w14:paraId="2F32ACDD" w14:textId="08F52285" w:rsidTr="008A477C">
        <w:tc>
          <w:tcPr>
            <w:tcW w:w="2259" w:type="dxa"/>
            <w:tcBorders>
              <w:top w:val="single" w:sz="4" w:space="0" w:color="auto"/>
            </w:tcBorders>
          </w:tcPr>
          <w:p w14:paraId="56AC982F" w14:textId="2283B239" w:rsidR="0009631F" w:rsidRPr="007A5B14" w:rsidRDefault="0009631F" w:rsidP="00CC27B6">
            <w:pPr>
              <w:spacing w:line="276" w:lineRule="auto"/>
              <w:jc w:val="both"/>
              <w:rPr>
                <w:rFonts w:cs="Arial"/>
                <w:b/>
                <w:color w:val="00B050"/>
                <w:sz w:val="24"/>
                <w:szCs w:val="24"/>
              </w:rPr>
            </w:pPr>
            <w:r w:rsidRPr="007A5B14">
              <w:rPr>
                <w:rFonts w:cs="Arial"/>
                <w:b/>
                <w:bCs/>
                <w:sz w:val="24"/>
                <w:szCs w:val="24"/>
              </w:rPr>
              <w:t>Attendee</w:t>
            </w:r>
          </w:p>
        </w:tc>
        <w:tc>
          <w:tcPr>
            <w:tcW w:w="884" w:type="dxa"/>
            <w:tcBorders>
              <w:top w:val="single" w:sz="4" w:space="0" w:color="auto"/>
            </w:tcBorders>
          </w:tcPr>
          <w:p w14:paraId="365732DF" w14:textId="00B39705" w:rsidR="0009631F" w:rsidRPr="007A5B14" w:rsidRDefault="0009631F" w:rsidP="00CC27B6">
            <w:pPr>
              <w:spacing w:line="276" w:lineRule="auto"/>
              <w:jc w:val="both"/>
              <w:rPr>
                <w:rFonts w:cs="Arial"/>
                <w:b/>
                <w:color w:val="00B050"/>
                <w:sz w:val="24"/>
                <w:szCs w:val="24"/>
              </w:rPr>
            </w:pPr>
            <w:r w:rsidRPr="007A5B14">
              <w:rPr>
                <w:rFonts w:cs="Arial"/>
                <w:b/>
                <w:bCs/>
                <w:sz w:val="24"/>
                <w:szCs w:val="24"/>
              </w:rPr>
              <w:t>Initials</w:t>
            </w:r>
          </w:p>
        </w:tc>
        <w:tc>
          <w:tcPr>
            <w:tcW w:w="3529" w:type="dxa"/>
            <w:tcBorders>
              <w:top w:val="single" w:sz="4" w:space="0" w:color="auto"/>
            </w:tcBorders>
          </w:tcPr>
          <w:p w14:paraId="4A475FCA" w14:textId="3C36C2E5" w:rsidR="0009631F" w:rsidRPr="007A5B14" w:rsidRDefault="0009631F" w:rsidP="00CC27B6">
            <w:pPr>
              <w:spacing w:line="276" w:lineRule="auto"/>
              <w:jc w:val="both"/>
              <w:rPr>
                <w:rFonts w:cs="Arial"/>
                <w:b/>
                <w:color w:val="00B050"/>
                <w:sz w:val="24"/>
                <w:szCs w:val="24"/>
              </w:rPr>
            </w:pPr>
            <w:r w:rsidRPr="007A5B14">
              <w:rPr>
                <w:rFonts w:cs="Arial"/>
                <w:b/>
                <w:bCs/>
                <w:sz w:val="24"/>
                <w:szCs w:val="24"/>
              </w:rPr>
              <w:t>Title</w:t>
            </w:r>
          </w:p>
        </w:tc>
        <w:tc>
          <w:tcPr>
            <w:tcW w:w="2354" w:type="dxa"/>
            <w:tcBorders>
              <w:top w:val="single" w:sz="4" w:space="0" w:color="auto"/>
            </w:tcBorders>
          </w:tcPr>
          <w:p w14:paraId="3F3A089B" w14:textId="26B996AE" w:rsidR="0009631F" w:rsidRPr="007A5B14" w:rsidRDefault="0009631F" w:rsidP="00CC27B6">
            <w:pPr>
              <w:spacing w:line="276" w:lineRule="auto"/>
              <w:jc w:val="both"/>
              <w:rPr>
                <w:rFonts w:cs="Arial"/>
                <w:b/>
                <w:bCs/>
                <w:sz w:val="24"/>
                <w:szCs w:val="24"/>
              </w:rPr>
            </w:pPr>
            <w:r>
              <w:rPr>
                <w:rFonts w:cs="Arial"/>
                <w:b/>
                <w:bCs/>
                <w:sz w:val="24"/>
                <w:szCs w:val="24"/>
              </w:rPr>
              <w:t>Service (if applicable)</w:t>
            </w:r>
          </w:p>
        </w:tc>
      </w:tr>
      <w:tr w:rsidR="0009631F" w:rsidRPr="007A5B14" w14:paraId="7435AF46" w14:textId="3068F64E" w:rsidTr="008A477C">
        <w:tc>
          <w:tcPr>
            <w:tcW w:w="2259" w:type="dxa"/>
          </w:tcPr>
          <w:p w14:paraId="2802C750" w14:textId="2DF419E6" w:rsidR="0009631F" w:rsidRPr="00D0038D" w:rsidRDefault="00F06E98" w:rsidP="00CC27B6">
            <w:pPr>
              <w:spacing w:line="276" w:lineRule="auto"/>
              <w:jc w:val="both"/>
              <w:rPr>
                <w:rFonts w:cs="Arial"/>
                <w:sz w:val="24"/>
                <w:szCs w:val="24"/>
                <w:highlight w:val="yellow"/>
              </w:rPr>
            </w:pPr>
            <w:r w:rsidRPr="00771709">
              <w:rPr>
                <w:rFonts w:cs="Arial"/>
                <w:sz w:val="24"/>
                <w:szCs w:val="24"/>
              </w:rPr>
              <w:t>Eddie Cassidy</w:t>
            </w:r>
          </w:p>
        </w:tc>
        <w:tc>
          <w:tcPr>
            <w:tcW w:w="884" w:type="dxa"/>
          </w:tcPr>
          <w:p w14:paraId="0DA51E75" w14:textId="19B3C652" w:rsidR="0009631F" w:rsidRPr="00D0038D" w:rsidRDefault="00F06E98" w:rsidP="00CC27B6">
            <w:pPr>
              <w:spacing w:line="276" w:lineRule="auto"/>
              <w:jc w:val="both"/>
              <w:rPr>
                <w:rFonts w:cs="Arial"/>
                <w:sz w:val="24"/>
                <w:szCs w:val="24"/>
                <w:highlight w:val="yellow"/>
              </w:rPr>
            </w:pPr>
            <w:r w:rsidRPr="00771709">
              <w:rPr>
                <w:rFonts w:cs="Arial"/>
                <w:sz w:val="24"/>
                <w:szCs w:val="24"/>
              </w:rPr>
              <w:t>EC</w:t>
            </w:r>
          </w:p>
        </w:tc>
        <w:tc>
          <w:tcPr>
            <w:tcW w:w="3529" w:type="dxa"/>
          </w:tcPr>
          <w:p w14:paraId="128E328B" w14:textId="64B762FD" w:rsidR="0009631F" w:rsidRPr="00D0038D" w:rsidRDefault="00F06E98" w:rsidP="00F265E7">
            <w:pPr>
              <w:spacing w:line="276" w:lineRule="auto"/>
              <w:rPr>
                <w:sz w:val="24"/>
                <w:szCs w:val="24"/>
                <w:highlight w:val="yellow"/>
              </w:rPr>
            </w:pPr>
            <w:r w:rsidRPr="00771709">
              <w:rPr>
                <w:rFonts w:cs="Arial"/>
                <w:sz w:val="24"/>
                <w:szCs w:val="24"/>
              </w:rPr>
              <w:t xml:space="preserve">Unite </w:t>
            </w:r>
            <w:r w:rsidRPr="00771709">
              <w:rPr>
                <w:sz w:val="24"/>
                <w:szCs w:val="24"/>
              </w:rPr>
              <w:t>Representative</w:t>
            </w:r>
          </w:p>
        </w:tc>
        <w:tc>
          <w:tcPr>
            <w:tcW w:w="2354" w:type="dxa"/>
          </w:tcPr>
          <w:p w14:paraId="45BDD990" w14:textId="77777777" w:rsidR="0009631F" w:rsidRPr="00D0038D" w:rsidRDefault="0009631F" w:rsidP="00F265E7">
            <w:pPr>
              <w:spacing w:line="276" w:lineRule="auto"/>
              <w:rPr>
                <w:rFonts w:cs="Arial"/>
                <w:sz w:val="24"/>
                <w:szCs w:val="24"/>
                <w:highlight w:val="yellow"/>
              </w:rPr>
            </w:pPr>
          </w:p>
        </w:tc>
      </w:tr>
      <w:tr w:rsidR="00F06E98" w:rsidRPr="007A5B14" w14:paraId="21943948" w14:textId="77777777" w:rsidTr="008A477C">
        <w:tc>
          <w:tcPr>
            <w:tcW w:w="2259" w:type="dxa"/>
          </w:tcPr>
          <w:p w14:paraId="42EB1CAF" w14:textId="0DB63621" w:rsidR="00F06E98" w:rsidRPr="006D071E" w:rsidRDefault="00985C26" w:rsidP="00CC27B6">
            <w:pPr>
              <w:spacing w:line="276" w:lineRule="auto"/>
              <w:jc w:val="both"/>
              <w:rPr>
                <w:rFonts w:cs="Arial"/>
                <w:sz w:val="24"/>
                <w:szCs w:val="24"/>
                <w:highlight w:val="yellow"/>
              </w:rPr>
            </w:pPr>
            <w:r w:rsidRPr="008A477C">
              <w:rPr>
                <w:rFonts w:cs="Arial"/>
                <w:sz w:val="24"/>
                <w:szCs w:val="24"/>
              </w:rPr>
              <w:t>Mandy McDowall</w:t>
            </w:r>
          </w:p>
        </w:tc>
        <w:tc>
          <w:tcPr>
            <w:tcW w:w="884" w:type="dxa"/>
          </w:tcPr>
          <w:p w14:paraId="50B83FA3" w14:textId="2BE2D1E2" w:rsidR="00F06E98" w:rsidRPr="006D071E" w:rsidRDefault="00985C26" w:rsidP="00CC27B6">
            <w:pPr>
              <w:spacing w:line="276" w:lineRule="auto"/>
              <w:jc w:val="both"/>
              <w:rPr>
                <w:rFonts w:cs="Arial"/>
                <w:sz w:val="24"/>
                <w:szCs w:val="24"/>
                <w:highlight w:val="yellow"/>
              </w:rPr>
            </w:pPr>
            <w:r w:rsidRPr="008A477C">
              <w:rPr>
                <w:rFonts w:cs="Arial"/>
                <w:sz w:val="24"/>
                <w:szCs w:val="24"/>
              </w:rPr>
              <w:t>MMcD</w:t>
            </w:r>
          </w:p>
        </w:tc>
        <w:tc>
          <w:tcPr>
            <w:tcW w:w="3529" w:type="dxa"/>
          </w:tcPr>
          <w:p w14:paraId="476E36CB" w14:textId="0C2F4D53" w:rsidR="00F06E98" w:rsidRPr="006D071E" w:rsidRDefault="00985C26" w:rsidP="00CC27B6">
            <w:pPr>
              <w:spacing w:line="276" w:lineRule="auto"/>
              <w:jc w:val="both"/>
              <w:rPr>
                <w:sz w:val="24"/>
                <w:szCs w:val="24"/>
                <w:highlight w:val="yellow"/>
              </w:rPr>
            </w:pPr>
            <w:r w:rsidRPr="008A477C">
              <w:rPr>
                <w:sz w:val="24"/>
                <w:szCs w:val="24"/>
              </w:rPr>
              <w:t>Unison Lead</w:t>
            </w:r>
          </w:p>
        </w:tc>
        <w:tc>
          <w:tcPr>
            <w:tcW w:w="2354" w:type="dxa"/>
          </w:tcPr>
          <w:p w14:paraId="6A38D6C5" w14:textId="77777777" w:rsidR="00F06E98" w:rsidRPr="00771709" w:rsidRDefault="00F06E98" w:rsidP="00CC27B6">
            <w:pPr>
              <w:spacing w:line="276" w:lineRule="auto"/>
              <w:jc w:val="both"/>
              <w:rPr>
                <w:sz w:val="24"/>
                <w:szCs w:val="24"/>
              </w:rPr>
            </w:pPr>
          </w:p>
        </w:tc>
      </w:tr>
      <w:tr w:rsidR="0009631F" w:rsidRPr="007A5B14" w14:paraId="4D8F34F1" w14:textId="1F50513E" w:rsidTr="008A477C">
        <w:tc>
          <w:tcPr>
            <w:tcW w:w="2259" w:type="dxa"/>
          </w:tcPr>
          <w:p w14:paraId="7D29099E" w14:textId="54AB0B06" w:rsidR="0009631F" w:rsidRPr="004B0621" w:rsidRDefault="008A477C" w:rsidP="00CC27B6">
            <w:pPr>
              <w:spacing w:line="276" w:lineRule="auto"/>
              <w:jc w:val="both"/>
              <w:rPr>
                <w:rFonts w:cs="Arial"/>
                <w:b/>
                <w:bCs/>
                <w:sz w:val="24"/>
                <w:szCs w:val="24"/>
                <w:highlight w:val="yellow"/>
              </w:rPr>
            </w:pPr>
            <w:r w:rsidRPr="00771709">
              <w:rPr>
                <w:rFonts w:cs="Arial"/>
                <w:sz w:val="24"/>
                <w:szCs w:val="24"/>
              </w:rPr>
              <w:t>Colette Hunter</w:t>
            </w:r>
          </w:p>
        </w:tc>
        <w:tc>
          <w:tcPr>
            <w:tcW w:w="884" w:type="dxa"/>
          </w:tcPr>
          <w:p w14:paraId="2A62DE72" w14:textId="6EBAC2B6" w:rsidR="0009631F" w:rsidRPr="004B0621" w:rsidRDefault="008A477C" w:rsidP="00CC27B6">
            <w:pPr>
              <w:spacing w:line="276" w:lineRule="auto"/>
              <w:jc w:val="both"/>
              <w:rPr>
                <w:rFonts w:cs="Arial"/>
                <w:b/>
                <w:bCs/>
                <w:sz w:val="24"/>
                <w:szCs w:val="24"/>
                <w:highlight w:val="yellow"/>
              </w:rPr>
            </w:pPr>
            <w:r w:rsidRPr="008A477C">
              <w:rPr>
                <w:rFonts w:cs="Arial"/>
                <w:sz w:val="24"/>
                <w:szCs w:val="24"/>
              </w:rPr>
              <w:t>CH</w:t>
            </w:r>
          </w:p>
        </w:tc>
        <w:tc>
          <w:tcPr>
            <w:tcW w:w="3529" w:type="dxa"/>
          </w:tcPr>
          <w:p w14:paraId="2DFC928F" w14:textId="117A22D2" w:rsidR="0009631F" w:rsidRPr="004B0621" w:rsidRDefault="008A477C" w:rsidP="00CC27B6">
            <w:pPr>
              <w:spacing w:line="276" w:lineRule="auto"/>
              <w:jc w:val="both"/>
              <w:rPr>
                <w:rFonts w:cs="Arial"/>
                <w:b/>
                <w:bCs/>
                <w:sz w:val="24"/>
                <w:szCs w:val="24"/>
                <w:highlight w:val="yellow"/>
              </w:rPr>
            </w:pPr>
            <w:r w:rsidRPr="00771709">
              <w:rPr>
                <w:sz w:val="24"/>
                <w:szCs w:val="24"/>
              </w:rPr>
              <w:t>Unison Representative</w:t>
            </w:r>
          </w:p>
        </w:tc>
        <w:tc>
          <w:tcPr>
            <w:tcW w:w="2354" w:type="dxa"/>
          </w:tcPr>
          <w:p w14:paraId="67496886" w14:textId="77777777" w:rsidR="0009631F" w:rsidRPr="00771709" w:rsidRDefault="0009631F" w:rsidP="00CC27B6">
            <w:pPr>
              <w:spacing w:line="276" w:lineRule="auto"/>
              <w:jc w:val="both"/>
              <w:rPr>
                <w:sz w:val="24"/>
                <w:szCs w:val="24"/>
              </w:rPr>
            </w:pPr>
          </w:p>
        </w:tc>
      </w:tr>
    </w:tbl>
    <w:p w14:paraId="0A0AF6BE" w14:textId="27051CDA" w:rsidR="006C2D10" w:rsidRPr="00CC27B6" w:rsidRDefault="006C2D10" w:rsidP="00CC27B6">
      <w:pPr>
        <w:spacing w:line="276" w:lineRule="auto"/>
        <w:jc w:val="both"/>
        <w:rPr>
          <w:rFonts w:cs="Arial"/>
          <w:b/>
          <w:color w:val="00B050"/>
          <w:sz w:val="20"/>
          <w:szCs w:val="20"/>
        </w:rPr>
        <w:sectPr w:rsidR="006C2D10" w:rsidRPr="00CC27B6"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CC27B6" w:rsidRDefault="00F960E4" w:rsidP="00CC27B6">
      <w:pPr>
        <w:jc w:val="both"/>
        <w:rPr>
          <w:rFonts w:cs="Arial"/>
          <w:b/>
          <w:sz w:val="32"/>
          <w:szCs w:val="32"/>
          <w:u w:val="single"/>
        </w:rPr>
      </w:pPr>
    </w:p>
    <w:tbl>
      <w:tblPr>
        <w:tblStyle w:val="TableGrid"/>
        <w:tblW w:w="0" w:type="auto"/>
        <w:tblLook w:val="04A0" w:firstRow="1" w:lastRow="0" w:firstColumn="1" w:lastColumn="0" w:noHBand="0" w:noVBand="1"/>
        <w:tblCaption w:val="Meeting Notes"/>
      </w:tblPr>
      <w:tblGrid>
        <w:gridCol w:w="8926"/>
      </w:tblGrid>
      <w:tr w:rsidR="00DF33D0" w:rsidRPr="00CC27B6" w14:paraId="6E49DCD3" w14:textId="77777777" w:rsidTr="00291599">
        <w:trPr>
          <w:tblHeader/>
        </w:trPr>
        <w:tc>
          <w:tcPr>
            <w:tcW w:w="8926" w:type="dxa"/>
          </w:tcPr>
          <w:p w14:paraId="19E48187" w14:textId="77777777" w:rsidR="00DF33D0" w:rsidRPr="00CC27B6" w:rsidRDefault="00DF33D0" w:rsidP="00CC27B6">
            <w:pPr>
              <w:rPr>
                <w:rFonts w:cs="Arial"/>
                <w:b/>
                <w:sz w:val="24"/>
                <w:szCs w:val="24"/>
              </w:rPr>
            </w:pPr>
            <w:r w:rsidRPr="00CC27B6">
              <w:rPr>
                <w:rFonts w:cs="Arial"/>
                <w:b/>
                <w:sz w:val="24"/>
                <w:szCs w:val="24"/>
              </w:rPr>
              <w:t>Notes</w:t>
            </w:r>
          </w:p>
        </w:tc>
      </w:tr>
      <w:tr w:rsidR="009D0710" w:rsidRPr="00CC27B6" w14:paraId="6FFEB968" w14:textId="77777777" w:rsidTr="00291599">
        <w:tc>
          <w:tcPr>
            <w:tcW w:w="8926" w:type="dxa"/>
          </w:tcPr>
          <w:p w14:paraId="22A9811E" w14:textId="77777777" w:rsidR="009D0710" w:rsidRPr="00CC27B6" w:rsidRDefault="009D0710" w:rsidP="00A80925">
            <w:pPr>
              <w:pStyle w:val="ListParagraph"/>
              <w:numPr>
                <w:ilvl w:val="0"/>
                <w:numId w:val="1"/>
              </w:numPr>
              <w:rPr>
                <w:rFonts w:cs="Arial"/>
                <w:b/>
                <w:sz w:val="24"/>
                <w:szCs w:val="24"/>
              </w:rPr>
            </w:pPr>
            <w:r w:rsidRPr="00CC27B6">
              <w:rPr>
                <w:rFonts w:cs="Arial"/>
                <w:b/>
                <w:sz w:val="24"/>
                <w:szCs w:val="24"/>
              </w:rPr>
              <w:t>Previous Note</w:t>
            </w:r>
            <w:r w:rsidR="00A342A6">
              <w:rPr>
                <w:rFonts w:cs="Arial"/>
                <w:b/>
                <w:sz w:val="24"/>
                <w:szCs w:val="24"/>
              </w:rPr>
              <w:t xml:space="preserve"> </w:t>
            </w:r>
          </w:p>
          <w:p w14:paraId="5BCB161E" w14:textId="77777777" w:rsidR="009D0710" w:rsidRPr="00CC27B6" w:rsidRDefault="009D0710" w:rsidP="00CC27B6">
            <w:pPr>
              <w:pStyle w:val="ListParagraph"/>
              <w:rPr>
                <w:rFonts w:cs="Arial"/>
                <w:b/>
                <w:sz w:val="24"/>
                <w:szCs w:val="24"/>
              </w:rPr>
            </w:pPr>
          </w:p>
          <w:p w14:paraId="5586AAFC" w14:textId="17544B05" w:rsidR="002377F3" w:rsidRPr="002377F3" w:rsidRDefault="00B543A2" w:rsidP="002377F3">
            <w:pPr>
              <w:pStyle w:val="ListParagraph"/>
              <w:numPr>
                <w:ilvl w:val="1"/>
                <w:numId w:val="2"/>
              </w:numPr>
              <w:ind w:left="596"/>
              <w:jc w:val="both"/>
              <w:rPr>
                <w:rFonts w:cs="Arial"/>
                <w:sz w:val="24"/>
                <w:szCs w:val="24"/>
              </w:rPr>
            </w:pPr>
            <w:r>
              <w:rPr>
                <w:rFonts w:cs="Arial"/>
                <w:sz w:val="24"/>
                <w:szCs w:val="24"/>
              </w:rPr>
              <w:t>Previous n</w:t>
            </w:r>
            <w:r w:rsidR="00B926C9" w:rsidRPr="00B926C9">
              <w:rPr>
                <w:rFonts w:cs="Arial"/>
                <w:sz w:val="24"/>
                <w:szCs w:val="24"/>
              </w:rPr>
              <w:t>ote approved</w:t>
            </w:r>
          </w:p>
          <w:p w14:paraId="191C5BE9" w14:textId="2BCA7235" w:rsidR="00565C3E" w:rsidRPr="00BA64CC" w:rsidRDefault="00565C3E" w:rsidP="00BA64CC">
            <w:pPr>
              <w:jc w:val="both"/>
              <w:rPr>
                <w:rFonts w:cs="Arial"/>
                <w:sz w:val="24"/>
                <w:szCs w:val="24"/>
              </w:rPr>
            </w:pPr>
          </w:p>
        </w:tc>
      </w:tr>
      <w:tr w:rsidR="0050752F" w:rsidRPr="00CC27B6" w14:paraId="70AD1975" w14:textId="77777777" w:rsidTr="00291599">
        <w:tc>
          <w:tcPr>
            <w:tcW w:w="8926" w:type="dxa"/>
          </w:tcPr>
          <w:p w14:paraId="19DD2CB5" w14:textId="5D2332F7" w:rsidR="0050752F" w:rsidRDefault="002377F3" w:rsidP="0050752F">
            <w:pPr>
              <w:pStyle w:val="ListParagraph"/>
              <w:numPr>
                <w:ilvl w:val="0"/>
                <w:numId w:val="1"/>
              </w:numPr>
              <w:rPr>
                <w:rFonts w:cs="Arial"/>
                <w:b/>
                <w:sz w:val="24"/>
                <w:szCs w:val="24"/>
              </w:rPr>
            </w:pPr>
            <w:r>
              <w:rPr>
                <w:rFonts w:cs="Arial"/>
                <w:b/>
                <w:sz w:val="24"/>
                <w:szCs w:val="24"/>
              </w:rPr>
              <w:t>Appeals Process</w:t>
            </w:r>
          </w:p>
          <w:p w14:paraId="5508D4EC" w14:textId="77777777" w:rsidR="0050752F" w:rsidRDefault="0050752F" w:rsidP="0050752F">
            <w:pPr>
              <w:pStyle w:val="ListParagraph"/>
              <w:rPr>
                <w:rFonts w:cs="Arial"/>
                <w:b/>
                <w:sz w:val="24"/>
                <w:szCs w:val="24"/>
              </w:rPr>
            </w:pPr>
          </w:p>
          <w:p w14:paraId="4EDD5247" w14:textId="77777777" w:rsidR="0050752F" w:rsidRPr="00725EFB" w:rsidRDefault="0050752F" w:rsidP="0050752F">
            <w:pPr>
              <w:pStyle w:val="ListParagraph"/>
              <w:numPr>
                <w:ilvl w:val="0"/>
                <w:numId w:val="2"/>
              </w:numPr>
              <w:jc w:val="both"/>
              <w:rPr>
                <w:rFonts w:cs="Arial"/>
                <w:vanish/>
                <w:sz w:val="24"/>
                <w:szCs w:val="24"/>
              </w:rPr>
            </w:pPr>
          </w:p>
          <w:p w14:paraId="057DD87B" w14:textId="62B4A0C2" w:rsidR="008A4BDA" w:rsidRDefault="008A4BDA" w:rsidP="00A72C6A">
            <w:pPr>
              <w:pStyle w:val="ListParagraph"/>
              <w:numPr>
                <w:ilvl w:val="1"/>
                <w:numId w:val="2"/>
              </w:numPr>
              <w:jc w:val="both"/>
              <w:rPr>
                <w:rFonts w:cs="Arial"/>
                <w:sz w:val="24"/>
                <w:szCs w:val="24"/>
              </w:rPr>
            </w:pPr>
            <w:r>
              <w:rPr>
                <w:rFonts w:cs="Arial"/>
                <w:sz w:val="24"/>
                <w:szCs w:val="24"/>
              </w:rPr>
              <w:t xml:space="preserve">WD queried if this agenda item should be moved to the next meeting to allow time to review the paper as it was circulated on the day of the meeting. JB </w:t>
            </w:r>
            <w:r w:rsidR="003A6A8F">
              <w:rPr>
                <w:rFonts w:cs="Arial"/>
                <w:sz w:val="24"/>
                <w:szCs w:val="24"/>
              </w:rPr>
              <w:t xml:space="preserve">reassured the OSG </w:t>
            </w:r>
            <w:r>
              <w:rPr>
                <w:rFonts w:cs="Arial"/>
                <w:sz w:val="24"/>
                <w:szCs w:val="24"/>
              </w:rPr>
              <w:t xml:space="preserve">that RD would </w:t>
            </w:r>
            <w:r w:rsidR="003A6A8F">
              <w:rPr>
                <w:rFonts w:cs="Arial"/>
                <w:sz w:val="24"/>
                <w:szCs w:val="24"/>
              </w:rPr>
              <w:t>simply</w:t>
            </w:r>
            <w:r>
              <w:rPr>
                <w:rFonts w:cs="Arial"/>
                <w:sz w:val="24"/>
                <w:szCs w:val="24"/>
              </w:rPr>
              <w:t xml:space="preserve"> be talking through the paper before </w:t>
            </w:r>
            <w:r w:rsidR="003A6A8F">
              <w:rPr>
                <w:rFonts w:cs="Arial"/>
                <w:sz w:val="24"/>
                <w:szCs w:val="24"/>
              </w:rPr>
              <w:t>it is discussed at</w:t>
            </w:r>
            <w:r>
              <w:rPr>
                <w:rFonts w:cs="Arial"/>
                <w:sz w:val="24"/>
                <w:szCs w:val="24"/>
              </w:rPr>
              <w:t xml:space="preserve"> the next meeting. </w:t>
            </w:r>
          </w:p>
          <w:p w14:paraId="72F0FF13" w14:textId="77777777" w:rsidR="008A4BDA" w:rsidRDefault="008A4BDA" w:rsidP="008A4BDA">
            <w:pPr>
              <w:pStyle w:val="ListParagraph"/>
              <w:ind w:left="792"/>
              <w:jc w:val="both"/>
              <w:rPr>
                <w:rFonts w:cs="Arial"/>
                <w:sz w:val="24"/>
                <w:szCs w:val="24"/>
              </w:rPr>
            </w:pPr>
          </w:p>
          <w:p w14:paraId="7DE307A2" w14:textId="46881109" w:rsidR="002377F3" w:rsidRDefault="002377F3" w:rsidP="00102007">
            <w:pPr>
              <w:pStyle w:val="ListParagraph"/>
              <w:numPr>
                <w:ilvl w:val="1"/>
                <w:numId w:val="2"/>
              </w:numPr>
              <w:jc w:val="both"/>
              <w:rPr>
                <w:rFonts w:cs="Arial"/>
                <w:sz w:val="24"/>
                <w:szCs w:val="24"/>
              </w:rPr>
            </w:pPr>
            <w:r w:rsidRPr="008A4BDA">
              <w:rPr>
                <w:rFonts w:cs="Arial"/>
                <w:sz w:val="24"/>
                <w:szCs w:val="24"/>
              </w:rPr>
              <w:t>RD summarised the draft paper circulated 29 November 2022</w:t>
            </w:r>
            <w:r w:rsidR="008A4BDA">
              <w:rPr>
                <w:rFonts w:cs="Arial"/>
                <w:sz w:val="24"/>
                <w:szCs w:val="24"/>
              </w:rPr>
              <w:t xml:space="preserve">. </w:t>
            </w:r>
          </w:p>
          <w:p w14:paraId="2B5EE7EB" w14:textId="77777777" w:rsidR="008A4BDA" w:rsidRPr="008A4BDA" w:rsidRDefault="008A4BDA" w:rsidP="008A4BDA">
            <w:pPr>
              <w:jc w:val="both"/>
              <w:rPr>
                <w:rFonts w:cs="Arial"/>
                <w:sz w:val="24"/>
                <w:szCs w:val="24"/>
              </w:rPr>
            </w:pPr>
          </w:p>
          <w:p w14:paraId="13C22C67" w14:textId="25B64A44" w:rsidR="002377F3" w:rsidRPr="00A05BF1" w:rsidRDefault="002377F3" w:rsidP="00A72C6A">
            <w:pPr>
              <w:pStyle w:val="ListParagraph"/>
              <w:numPr>
                <w:ilvl w:val="1"/>
                <w:numId w:val="2"/>
              </w:numPr>
              <w:jc w:val="both"/>
              <w:rPr>
                <w:rFonts w:cs="Arial"/>
                <w:sz w:val="24"/>
                <w:szCs w:val="24"/>
                <w:highlight w:val="yellow"/>
              </w:rPr>
            </w:pPr>
            <w:r w:rsidRPr="00A05BF1">
              <w:rPr>
                <w:rFonts w:cs="Arial"/>
                <w:sz w:val="24"/>
                <w:szCs w:val="24"/>
                <w:highlight w:val="yellow"/>
              </w:rPr>
              <w:t>BS queried the volume of job holders that might appeal. RD</w:t>
            </w:r>
            <w:r w:rsidR="00A05BF1" w:rsidRPr="00A05BF1">
              <w:rPr>
                <w:rFonts w:cs="Arial"/>
                <w:sz w:val="24"/>
                <w:szCs w:val="24"/>
                <w:highlight w:val="yellow"/>
              </w:rPr>
              <w:t xml:space="preserve"> advised appeals are to be expected given the scale of Glasgow but highlighted there is a correlation between workforce confidence in the process and the volume of appeals. </w:t>
            </w:r>
          </w:p>
          <w:p w14:paraId="240E3E5F" w14:textId="77777777" w:rsidR="00D15E9F" w:rsidRPr="00D15E9F" w:rsidRDefault="00D15E9F" w:rsidP="00D15E9F">
            <w:pPr>
              <w:pStyle w:val="ListParagraph"/>
              <w:rPr>
                <w:rFonts w:cs="Arial"/>
                <w:sz w:val="24"/>
                <w:szCs w:val="24"/>
              </w:rPr>
            </w:pPr>
          </w:p>
          <w:p w14:paraId="6DA6C827" w14:textId="626F7229" w:rsidR="0050752F" w:rsidRPr="00D15E9F" w:rsidRDefault="00D15E9F" w:rsidP="00D15E9F">
            <w:pPr>
              <w:pStyle w:val="ListParagraph"/>
              <w:numPr>
                <w:ilvl w:val="1"/>
                <w:numId w:val="2"/>
              </w:numPr>
              <w:jc w:val="both"/>
              <w:rPr>
                <w:rFonts w:cs="Arial"/>
                <w:b/>
                <w:sz w:val="24"/>
                <w:szCs w:val="24"/>
              </w:rPr>
            </w:pPr>
            <w:r>
              <w:rPr>
                <w:rFonts w:cs="Arial"/>
                <w:sz w:val="24"/>
                <w:szCs w:val="24"/>
              </w:rPr>
              <w:t xml:space="preserve">LN highlighted the need for a sizeable pool of trained panel members to </w:t>
            </w:r>
            <w:r w:rsidR="00C24269">
              <w:rPr>
                <w:rFonts w:cs="Arial"/>
                <w:sz w:val="24"/>
                <w:szCs w:val="24"/>
              </w:rPr>
              <w:t>aid</w:t>
            </w:r>
            <w:r>
              <w:rPr>
                <w:rFonts w:cs="Arial"/>
                <w:sz w:val="24"/>
                <w:szCs w:val="24"/>
              </w:rPr>
              <w:t xml:space="preserve"> services. RD concurred and </w:t>
            </w:r>
            <w:r w:rsidR="003A6A8F">
              <w:rPr>
                <w:rFonts w:cs="Arial"/>
                <w:sz w:val="24"/>
                <w:szCs w:val="24"/>
              </w:rPr>
              <w:t>advised this</w:t>
            </w:r>
            <w:r>
              <w:rPr>
                <w:rFonts w:cs="Arial"/>
                <w:sz w:val="24"/>
                <w:szCs w:val="24"/>
              </w:rPr>
              <w:t xml:space="preserve"> would help </w:t>
            </w:r>
            <w:r w:rsidR="003A6A8F">
              <w:rPr>
                <w:rFonts w:cs="Arial"/>
                <w:sz w:val="24"/>
                <w:szCs w:val="24"/>
              </w:rPr>
              <w:t>manage</w:t>
            </w:r>
            <w:r>
              <w:rPr>
                <w:rFonts w:cs="Arial"/>
                <w:sz w:val="24"/>
                <w:szCs w:val="24"/>
              </w:rPr>
              <w:t xml:space="preserve"> conflict of interest. </w:t>
            </w:r>
          </w:p>
          <w:p w14:paraId="0CDF6186" w14:textId="48833C22" w:rsidR="00D15E9F" w:rsidRPr="00D15E9F" w:rsidRDefault="00D15E9F" w:rsidP="00D15E9F">
            <w:pPr>
              <w:jc w:val="both"/>
              <w:rPr>
                <w:rFonts w:cs="Arial"/>
                <w:b/>
                <w:sz w:val="24"/>
                <w:szCs w:val="24"/>
              </w:rPr>
            </w:pPr>
          </w:p>
        </w:tc>
      </w:tr>
      <w:tr w:rsidR="00DE1BAB" w:rsidRPr="00CC27B6" w14:paraId="66B2DEE6" w14:textId="77777777" w:rsidTr="00291599">
        <w:tc>
          <w:tcPr>
            <w:tcW w:w="8926" w:type="dxa"/>
          </w:tcPr>
          <w:p w14:paraId="24C66826" w14:textId="7505161D" w:rsidR="00DE1BAB" w:rsidRPr="00086C41" w:rsidRDefault="00DE1BAB" w:rsidP="00DE1BAB">
            <w:pPr>
              <w:pStyle w:val="ListParagraph"/>
              <w:numPr>
                <w:ilvl w:val="0"/>
                <w:numId w:val="1"/>
              </w:numPr>
              <w:rPr>
                <w:rFonts w:cs="Arial"/>
                <w:b/>
                <w:sz w:val="24"/>
                <w:szCs w:val="24"/>
              </w:rPr>
            </w:pPr>
            <w:r>
              <w:rPr>
                <w:rFonts w:cs="Arial"/>
                <w:b/>
                <w:sz w:val="24"/>
                <w:szCs w:val="24"/>
              </w:rPr>
              <w:t xml:space="preserve">Benchmark Jobs Statistics </w:t>
            </w:r>
          </w:p>
          <w:p w14:paraId="29837C40" w14:textId="77777777" w:rsidR="00DE1BAB" w:rsidRPr="00746A1D" w:rsidRDefault="00DE1BAB" w:rsidP="00DE1BAB">
            <w:pPr>
              <w:pStyle w:val="ListParagraph"/>
              <w:contextualSpacing w:val="0"/>
              <w:rPr>
                <w:rFonts w:eastAsia="Times New Roman" w:cstheme="minorHAnsi"/>
                <w:sz w:val="24"/>
                <w:szCs w:val="24"/>
              </w:rPr>
            </w:pPr>
          </w:p>
          <w:p w14:paraId="2283A605" w14:textId="77777777" w:rsidR="00DE1BAB" w:rsidRPr="00002C32" w:rsidRDefault="00DE1BAB" w:rsidP="00DE1BAB">
            <w:pPr>
              <w:pStyle w:val="ListParagraph"/>
              <w:numPr>
                <w:ilvl w:val="0"/>
                <w:numId w:val="2"/>
              </w:numPr>
              <w:jc w:val="both"/>
              <w:rPr>
                <w:rFonts w:cs="Arial"/>
                <w:vanish/>
                <w:sz w:val="24"/>
                <w:szCs w:val="24"/>
              </w:rPr>
            </w:pPr>
          </w:p>
          <w:p w14:paraId="2924B3C6" w14:textId="6D0268F3" w:rsidR="007A7B92" w:rsidRDefault="006148D5" w:rsidP="00703433">
            <w:pPr>
              <w:pStyle w:val="ListParagraph"/>
              <w:numPr>
                <w:ilvl w:val="1"/>
                <w:numId w:val="2"/>
              </w:numPr>
              <w:jc w:val="both"/>
              <w:rPr>
                <w:rFonts w:cs="Arial"/>
                <w:sz w:val="24"/>
                <w:szCs w:val="24"/>
              </w:rPr>
            </w:pPr>
            <w:r>
              <w:rPr>
                <w:rFonts w:cs="Arial"/>
                <w:sz w:val="24"/>
                <w:szCs w:val="24"/>
              </w:rPr>
              <w:t xml:space="preserve">AT summarised the document issued in advance </w:t>
            </w:r>
            <w:r w:rsidR="00E150BC">
              <w:rPr>
                <w:rFonts w:cs="Arial"/>
                <w:sz w:val="24"/>
                <w:szCs w:val="24"/>
              </w:rPr>
              <w:t>and advised the following</w:t>
            </w:r>
            <w:r>
              <w:rPr>
                <w:rFonts w:cs="Arial"/>
                <w:sz w:val="24"/>
                <w:szCs w:val="24"/>
              </w:rPr>
              <w:t>:</w:t>
            </w:r>
          </w:p>
          <w:p w14:paraId="4B060E3E" w14:textId="77777777" w:rsidR="00703433" w:rsidRPr="00703433" w:rsidRDefault="00703433" w:rsidP="00703433">
            <w:pPr>
              <w:pStyle w:val="ListParagraph"/>
              <w:ind w:left="792"/>
              <w:jc w:val="both"/>
              <w:rPr>
                <w:rFonts w:cs="Arial"/>
                <w:sz w:val="24"/>
                <w:szCs w:val="24"/>
              </w:rPr>
            </w:pPr>
          </w:p>
          <w:p w14:paraId="10E0457F" w14:textId="4C135C07" w:rsidR="0066237D" w:rsidRPr="0066237D" w:rsidRDefault="0066237D" w:rsidP="0066237D">
            <w:pPr>
              <w:pStyle w:val="ListParagraph"/>
              <w:numPr>
                <w:ilvl w:val="0"/>
                <w:numId w:val="37"/>
              </w:numPr>
              <w:spacing w:line="276" w:lineRule="auto"/>
              <w:jc w:val="both"/>
              <w:rPr>
                <w:rFonts w:cs="Arial"/>
                <w:sz w:val="24"/>
                <w:szCs w:val="24"/>
              </w:rPr>
            </w:pPr>
            <w:r>
              <w:rPr>
                <w:rFonts w:cs="Arial"/>
                <w:sz w:val="24"/>
                <w:szCs w:val="24"/>
              </w:rPr>
              <w:t xml:space="preserve">Services and Trade Unions have been asked for more volunteers which they have been working on.  </w:t>
            </w:r>
          </w:p>
          <w:p w14:paraId="604431EE" w14:textId="344A11EB" w:rsidR="00E150BC" w:rsidRDefault="008C218D" w:rsidP="00E150BC">
            <w:pPr>
              <w:pStyle w:val="ListParagraph"/>
              <w:numPr>
                <w:ilvl w:val="0"/>
                <w:numId w:val="37"/>
              </w:numPr>
              <w:spacing w:line="276" w:lineRule="auto"/>
              <w:jc w:val="both"/>
              <w:rPr>
                <w:rFonts w:cs="Arial"/>
                <w:sz w:val="24"/>
                <w:szCs w:val="24"/>
              </w:rPr>
            </w:pPr>
            <w:r>
              <w:rPr>
                <w:rFonts w:cs="Arial"/>
                <w:sz w:val="24"/>
                <w:szCs w:val="24"/>
              </w:rPr>
              <w:t xml:space="preserve">There are some positions where zero interviews have been completed. </w:t>
            </w:r>
            <w:r w:rsidR="00773BE1">
              <w:rPr>
                <w:rFonts w:cs="Arial"/>
                <w:sz w:val="24"/>
                <w:szCs w:val="24"/>
              </w:rPr>
              <w:t>Th</w:t>
            </w:r>
            <w:r>
              <w:rPr>
                <w:rFonts w:cs="Arial"/>
                <w:sz w:val="24"/>
                <w:szCs w:val="24"/>
              </w:rPr>
              <w:t>ese positions are</w:t>
            </w:r>
            <w:r w:rsidR="00773BE1">
              <w:rPr>
                <w:rFonts w:cs="Arial"/>
                <w:sz w:val="24"/>
                <w:szCs w:val="24"/>
              </w:rPr>
              <w:t xml:space="preserve"> </w:t>
            </w:r>
            <w:r w:rsidR="00BF3CD7">
              <w:rPr>
                <w:rFonts w:cs="Arial"/>
                <w:sz w:val="24"/>
                <w:szCs w:val="24"/>
              </w:rPr>
              <w:t xml:space="preserve">a </w:t>
            </w:r>
            <w:r>
              <w:rPr>
                <w:rFonts w:cs="Arial"/>
                <w:sz w:val="24"/>
                <w:szCs w:val="24"/>
              </w:rPr>
              <w:t>priority,</w:t>
            </w:r>
            <w:r w:rsidR="00BF3CD7">
              <w:rPr>
                <w:rFonts w:cs="Arial"/>
                <w:sz w:val="24"/>
                <w:szCs w:val="24"/>
              </w:rPr>
              <w:t xml:space="preserve"> and</w:t>
            </w:r>
            <w:r w:rsidR="00773BE1">
              <w:rPr>
                <w:rFonts w:cs="Arial"/>
                <w:sz w:val="24"/>
                <w:szCs w:val="24"/>
              </w:rPr>
              <w:t xml:space="preserve"> </w:t>
            </w:r>
            <w:r>
              <w:rPr>
                <w:rFonts w:cs="Arial"/>
                <w:sz w:val="24"/>
                <w:szCs w:val="24"/>
              </w:rPr>
              <w:t>a list will be</w:t>
            </w:r>
            <w:r w:rsidR="009561E1">
              <w:rPr>
                <w:rFonts w:cs="Arial"/>
                <w:sz w:val="24"/>
                <w:szCs w:val="24"/>
              </w:rPr>
              <w:t xml:space="preserve"> </w:t>
            </w:r>
            <w:r w:rsidR="00E150BC">
              <w:rPr>
                <w:rFonts w:cs="Arial"/>
                <w:sz w:val="24"/>
                <w:szCs w:val="24"/>
              </w:rPr>
              <w:t xml:space="preserve">issued to </w:t>
            </w:r>
            <w:r w:rsidR="009A05B6">
              <w:rPr>
                <w:rFonts w:cs="Arial"/>
                <w:sz w:val="24"/>
                <w:szCs w:val="24"/>
              </w:rPr>
              <w:t xml:space="preserve">the </w:t>
            </w:r>
            <w:r w:rsidR="00E150BC">
              <w:rPr>
                <w:rFonts w:cs="Arial"/>
                <w:sz w:val="24"/>
                <w:szCs w:val="24"/>
              </w:rPr>
              <w:t>services</w:t>
            </w:r>
            <w:r w:rsidR="009A05B6">
              <w:rPr>
                <w:rFonts w:cs="Arial"/>
                <w:sz w:val="24"/>
                <w:szCs w:val="24"/>
              </w:rPr>
              <w:t xml:space="preserve"> and </w:t>
            </w:r>
            <w:r w:rsidR="00E150BC">
              <w:rPr>
                <w:rFonts w:cs="Arial"/>
                <w:sz w:val="24"/>
                <w:szCs w:val="24"/>
              </w:rPr>
              <w:t>Trade Unions</w:t>
            </w:r>
            <w:r>
              <w:rPr>
                <w:rFonts w:cs="Arial"/>
                <w:sz w:val="24"/>
                <w:szCs w:val="24"/>
              </w:rPr>
              <w:t xml:space="preserve"> </w:t>
            </w:r>
            <w:r w:rsidR="009A05B6">
              <w:rPr>
                <w:rFonts w:cs="Arial"/>
                <w:sz w:val="24"/>
                <w:szCs w:val="24"/>
              </w:rPr>
              <w:t>to obtain</w:t>
            </w:r>
            <w:r>
              <w:rPr>
                <w:rFonts w:cs="Arial"/>
                <w:sz w:val="24"/>
                <w:szCs w:val="24"/>
              </w:rPr>
              <w:t xml:space="preserve"> nominations. </w:t>
            </w:r>
          </w:p>
          <w:p w14:paraId="32E589B6" w14:textId="2E6B1865" w:rsidR="00773BE1" w:rsidRDefault="0066237D" w:rsidP="00773BE1">
            <w:pPr>
              <w:pStyle w:val="ListParagraph"/>
              <w:numPr>
                <w:ilvl w:val="0"/>
                <w:numId w:val="37"/>
              </w:numPr>
              <w:spacing w:line="276" w:lineRule="auto"/>
              <w:jc w:val="both"/>
              <w:rPr>
                <w:rFonts w:cs="Arial"/>
                <w:sz w:val="24"/>
                <w:szCs w:val="24"/>
              </w:rPr>
            </w:pPr>
            <w:r>
              <w:rPr>
                <w:rFonts w:cs="Arial"/>
                <w:sz w:val="24"/>
                <w:szCs w:val="24"/>
              </w:rPr>
              <w:t>There</w:t>
            </w:r>
            <w:r w:rsidR="00773BE1">
              <w:rPr>
                <w:rFonts w:cs="Arial"/>
                <w:sz w:val="24"/>
                <w:szCs w:val="24"/>
              </w:rPr>
              <w:t xml:space="preserve"> are</w:t>
            </w:r>
            <w:r>
              <w:rPr>
                <w:rFonts w:cs="Arial"/>
                <w:sz w:val="24"/>
                <w:szCs w:val="24"/>
              </w:rPr>
              <w:t xml:space="preserve"> currently</w:t>
            </w:r>
            <w:r w:rsidR="00773BE1">
              <w:rPr>
                <w:rFonts w:cs="Arial"/>
                <w:sz w:val="24"/>
                <w:szCs w:val="24"/>
              </w:rPr>
              <w:t xml:space="preserve"> </w:t>
            </w:r>
            <w:r>
              <w:rPr>
                <w:rFonts w:cs="Arial"/>
                <w:sz w:val="24"/>
                <w:szCs w:val="24"/>
              </w:rPr>
              <w:t>not enough</w:t>
            </w:r>
            <w:r w:rsidR="00773BE1">
              <w:rPr>
                <w:rFonts w:cs="Arial"/>
                <w:sz w:val="24"/>
                <w:szCs w:val="24"/>
              </w:rPr>
              <w:t xml:space="preserve"> nominations to </w:t>
            </w:r>
            <w:r w:rsidR="00BF3CD7">
              <w:rPr>
                <w:rFonts w:cs="Arial"/>
                <w:sz w:val="24"/>
                <w:szCs w:val="24"/>
              </w:rPr>
              <w:t>progress</w:t>
            </w:r>
            <w:r>
              <w:rPr>
                <w:rFonts w:cs="Arial"/>
                <w:sz w:val="24"/>
                <w:szCs w:val="24"/>
              </w:rPr>
              <w:t xml:space="preserve"> at capacity with interviews beyond December. </w:t>
            </w:r>
            <w:r w:rsidR="00BF3CD7">
              <w:rPr>
                <w:rFonts w:cs="Arial"/>
                <w:sz w:val="24"/>
                <w:szCs w:val="24"/>
              </w:rPr>
              <w:t xml:space="preserve"> </w:t>
            </w:r>
          </w:p>
          <w:p w14:paraId="5D93A611" w14:textId="00ECAB39" w:rsidR="009A1D74" w:rsidRPr="00773BE1" w:rsidRDefault="009A1D74" w:rsidP="00773BE1">
            <w:pPr>
              <w:pStyle w:val="ListParagraph"/>
              <w:numPr>
                <w:ilvl w:val="0"/>
                <w:numId w:val="37"/>
              </w:numPr>
              <w:spacing w:line="276" w:lineRule="auto"/>
              <w:jc w:val="both"/>
              <w:rPr>
                <w:rFonts w:cs="Arial"/>
                <w:sz w:val="24"/>
                <w:szCs w:val="24"/>
              </w:rPr>
            </w:pPr>
            <w:r>
              <w:rPr>
                <w:rFonts w:cs="Arial"/>
                <w:sz w:val="24"/>
                <w:szCs w:val="24"/>
              </w:rPr>
              <w:t>Meetings have now taken place with the services on variations to</w:t>
            </w:r>
            <w:r w:rsidR="009111B4">
              <w:rPr>
                <w:rFonts w:cs="Arial"/>
                <w:sz w:val="24"/>
                <w:szCs w:val="24"/>
              </w:rPr>
              <w:t xml:space="preserve"> help</w:t>
            </w:r>
            <w:r>
              <w:rPr>
                <w:rFonts w:cs="Arial"/>
                <w:sz w:val="24"/>
                <w:szCs w:val="24"/>
              </w:rPr>
              <w:t xml:space="preserve"> clarify if the</w:t>
            </w:r>
            <w:r w:rsidR="009111B4">
              <w:rPr>
                <w:rFonts w:cs="Arial"/>
                <w:sz w:val="24"/>
                <w:szCs w:val="24"/>
              </w:rPr>
              <w:t xml:space="preserve">y have been covered off </w:t>
            </w:r>
            <w:r w:rsidR="009A05B6">
              <w:rPr>
                <w:rFonts w:cs="Arial"/>
                <w:sz w:val="24"/>
                <w:szCs w:val="24"/>
              </w:rPr>
              <w:t>by</w:t>
            </w:r>
            <w:r w:rsidR="009111B4">
              <w:rPr>
                <w:rFonts w:cs="Arial"/>
                <w:sz w:val="24"/>
                <w:szCs w:val="24"/>
              </w:rPr>
              <w:t xml:space="preserve"> the</w:t>
            </w:r>
            <w:r>
              <w:rPr>
                <w:rFonts w:cs="Arial"/>
                <w:sz w:val="24"/>
                <w:szCs w:val="24"/>
              </w:rPr>
              <w:t xml:space="preserve"> job holders </w:t>
            </w:r>
            <w:r w:rsidR="009A05B6">
              <w:rPr>
                <w:rFonts w:cs="Arial"/>
                <w:sz w:val="24"/>
                <w:szCs w:val="24"/>
              </w:rPr>
              <w:t>interviewed</w:t>
            </w:r>
            <w:r>
              <w:rPr>
                <w:rFonts w:cs="Arial"/>
                <w:sz w:val="24"/>
                <w:szCs w:val="24"/>
              </w:rPr>
              <w:t xml:space="preserve"> so far</w:t>
            </w:r>
            <w:r w:rsidR="009111B4">
              <w:rPr>
                <w:rFonts w:cs="Arial"/>
                <w:sz w:val="24"/>
                <w:szCs w:val="24"/>
              </w:rPr>
              <w:t xml:space="preserve">. </w:t>
            </w:r>
          </w:p>
          <w:p w14:paraId="208186A7" w14:textId="593E1F8B" w:rsidR="00773BE1" w:rsidRDefault="00773BE1" w:rsidP="00773BE1">
            <w:pPr>
              <w:spacing w:line="276" w:lineRule="auto"/>
              <w:jc w:val="both"/>
              <w:rPr>
                <w:rFonts w:cs="Arial"/>
                <w:sz w:val="24"/>
                <w:szCs w:val="24"/>
              </w:rPr>
            </w:pPr>
          </w:p>
          <w:p w14:paraId="3F4D0857" w14:textId="3CDE8D4E" w:rsidR="00773BE1" w:rsidRDefault="00773BE1" w:rsidP="00247B80">
            <w:pPr>
              <w:pStyle w:val="ListParagraph"/>
              <w:numPr>
                <w:ilvl w:val="1"/>
                <w:numId w:val="2"/>
              </w:numPr>
              <w:jc w:val="both"/>
              <w:rPr>
                <w:rFonts w:cs="Arial"/>
                <w:sz w:val="24"/>
                <w:szCs w:val="24"/>
              </w:rPr>
            </w:pPr>
            <w:r>
              <w:rPr>
                <w:rFonts w:cs="Arial"/>
                <w:sz w:val="24"/>
                <w:szCs w:val="24"/>
              </w:rPr>
              <w:t xml:space="preserve">WD </w:t>
            </w:r>
            <w:r w:rsidR="009A05B6">
              <w:rPr>
                <w:rFonts w:cs="Arial"/>
                <w:sz w:val="24"/>
                <w:szCs w:val="24"/>
              </w:rPr>
              <w:t>advised</w:t>
            </w:r>
            <w:r w:rsidR="00BF3CD7">
              <w:rPr>
                <w:rFonts w:cs="Arial"/>
                <w:sz w:val="24"/>
                <w:szCs w:val="24"/>
              </w:rPr>
              <w:t xml:space="preserve"> </w:t>
            </w:r>
            <w:r w:rsidR="009A05B6">
              <w:rPr>
                <w:rFonts w:cs="Arial"/>
                <w:sz w:val="24"/>
                <w:szCs w:val="24"/>
              </w:rPr>
              <w:t>member</w:t>
            </w:r>
            <w:r>
              <w:rPr>
                <w:rFonts w:cs="Arial"/>
                <w:sz w:val="24"/>
                <w:szCs w:val="24"/>
              </w:rPr>
              <w:t xml:space="preserve"> feedback is highlighting job holders are being put forward by services without them knowing about it</w:t>
            </w:r>
            <w:r w:rsidR="00B732E8">
              <w:rPr>
                <w:rFonts w:cs="Arial"/>
                <w:sz w:val="24"/>
                <w:szCs w:val="24"/>
              </w:rPr>
              <w:t xml:space="preserve"> and this is</w:t>
            </w:r>
            <w:r>
              <w:rPr>
                <w:rFonts w:cs="Arial"/>
                <w:sz w:val="24"/>
                <w:szCs w:val="24"/>
              </w:rPr>
              <w:t xml:space="preserve"> resulting in job holders withdrawing as soon as they find out </w:t>
            </w:r>
            <w:r w:rsidR="00247B80">
              <w:rPr>
                <w:rFonts w:cs="Arial"/>
                <w:sz w:val="24"/>
                <w:szCs w:val="24"/>
              </w:rPr>
              <w:t xml:space="preserve">the process </w:t>
            </w:r>
            <w:r w:rsidR="009A05B6">
              <w:rPr>
                <w:rFonts w:cs="Arial"/>
                <w:sz w:val="24"/>
                <w:szCs w:val="24"/>
              </w:rPr>
              <w:t xml:space="preserve">is not </w:t>
            </w:r>
            <w:r>
              <w:rPr>
                <w:rFonts w:cs="Arial"/>
                <w:sz w:val="24"/>
                <w:szCs w:val="24"/>
              </w:rPr>
              <w:t xml:space="preserve">mandatory. AT confirmed </w:t>
            </w:r>
            <w:r w:rsidR="00B732E8">
              <w:rPr>
                <w:rFonts w:cs="Arial"/>
                <w:sz w:val="24"/>
                <w:szCs w:val="24"/>
              </w:rPr>
              <w:t xml:space="preserve">this </w:t>
            </w:r>
            <w:r>
              <w:rPr>
                <w:rFonts w:cs="Arial"/>
                <w:sz w:val="24"/>
                <w:szCs w:val="24"/>
              </w:rPr>
              <w:t>has been raised with the services</w:t>
            </w:r>
            <w:r w:rsidR="00B732E8">
              <w:rPr>
                <w:rFonts w:cs="Arial"/>
                <w:sz w:val="24"/>
                <w:szCs w:val="24"/>
              </w:rPr>
              <w:t xml:space="preserve"> when he has been made aware of specific examples</w:t>
            </w:r>
            <w:r>
              <w:rPr>
                <w:rFonts w:cs="Arial"/>
                <w:sz w:val="24"/>
                <w:szCs w:val="24"/>
              </w:rPr>
              <w:t xml:space="preserve">. JB asked </w:t>
            </w:r>
            <w:r w:rsidR="00247B80">
              <w:rPr>
                <w:rFonts w:cs="Arial"/>
                <w:sz w:val="24"/>
                <w:szCs w:val="24"/>
              </w:rPr>
              <w:t>management</w:t>
            </w:r>
            <w:r w:rsidR="0066237D">
              <w:rPr>
                <w:rFonts w:cs="Arial"/>
                <w:sz w:val="24"/>
                <w:szCs w:val="24"/>
              </w:rPr>
              <w:t xml:space="preserve"> OSG</w:t>
            </w:r>
            <w:r w:rsidR="00247B80">
              <w:rPr>
                <w:rFonts w:cs="Arial"/>
                <w:sz w:val="24"/>
                <w:szCs w:val="24"/>
              </w:rPr>
              <w:t xml:space="preserve"> representatives </w:t>
            </w:r>
            <w:r>
              <w:rPr>
                <w:rFonts w:cs="Arial"/>
                <w:sz w:val="24"/>
                <w:szCs w:val="24"/>
              </w:rPr>
              <w:t xml:space="preserve">to ensure there is </w:t>
            </w:r>
            <w:r w:rsidR="00247B80">
              <w:rPr>
                <w:rFonts w:cs="Arial"/>
                <w:sz w:val="24"/>
                <w:szCs w:val="24"/>
              </w:rPr>
              <w:t>regular</w:t>
            </w:r>
            <w:r>
              <w:rPr>
                <w:rFonts w:cs="Arial"/>
                <w:sz w:val="24"/>
                <w:szCs w:val="24"/>
              </w:rPr>
              <w:t xml:space="preserve"> communication</w:t>
            </w:r>
            <w:r w:rsidR="009C2819">
              <w:rPr>
                <w:rFonts w:cs="Arial"/>
                <w:sz w:val="24"/>
                <w:szCs w:val="24"/>
              </w:rPr>
              <w:t xml:space="preserve"> with job holders</w:t>
            </w:r>
            <w:r>
              <w:rPr>
                <w:rFonts w:cs="Arial"/>
                <w:sz w:val="24"/>
                <w:szCs w:val="24"/>
              </w:rPr>
              <w:t xml:space="preserve"> </w:t>
            </w:r>
            <w:r w:rsidR="003A6A8F">
              <w:rPr>
                <w:rFonts w:cs="Arial"/>
                <w:sz w:val="24"/>
                <w:szCs w:val="24"/>
              </w:rPr>
              <w:t>encouraging</w:t>
            </w:r>
            <w:r>
              <w:rPr>
                <w:rFonts w:cs="Arial"/>
                <w:sz w:val="24"/>
                <w:szCs w:val="24"/>
              </w:rPr>
              <w:t xml:space="preserve"> participation.</w:t>
            </w:r>
          </w:p>
          <w:p w14:paraId="5713633D" w14:textId="2D22BA26" w:rsidR="009C2819" w:rsidRDefault="009C2819" w:rsidP="009C2819">
            <w:pPr>
              <w:jc w:val="both"/>
              <w:rPr>
                <w:rFonts w:cs="Arial"/>
                <w:sz w:val="24"/>
                <w:szCs w:val="24"/>
              </w:rPr>
            </w:pPr>
          </w:p>
          <w:p w14:paraId="6B29C652" w14:textId="2E8A3D4C" w:rsidR="009C2819" w:rsidRPr="00E150BC" w:rsidRDefault="009C2819" w:rsidP="009C2819">
            <w:pPr>
              <w:pStyle w:val="ListParagraph"/>
              <w:numPr>
                <w:ilvl w:val="1"/>
                <w:numId w:val="2"/>
              </w:numPr>
              <w:jc w:val="both"/>
              <w:rPr>
                <w:rFonts w:cs="Arial"/>
                <w:sz w:val="24"/>
                <w:szCs w:val="24"/>
              </w:rPr>
            </w:pPr>
            <w:r>
              <w:rPr>
                <w:rFonts w:cs="Arial"/>
                <w:sz w:val="24"/>
                <w:szCs w:val="24"/>
              </w:rPr>
              <w:lastRenderedPageBreak/>
              <w:t xml:space="preserve">RD </w:t>
            </w:r>
            <w:r w:rsidR="00B364AB">
              <w:rPr>
                <w:rFonts w:cs="Arial"/>
                <w:sz w:val="24"/>
                <w:szCs w:val="24"/>
              </w:rPr>
              <w:t>suggested</w:t>
            </w:r>
            <w:r>
              <w:rPr>
                <w:rFonts w:cs="Arial"/>
                <w:sz w:val="24"/>
                <w:szCs w:val="24"/>
              </w:rPr>
              <w:t xml:space="preserve"> </w:t>
            </w:r>
            <w:r w:rsidR="009A05B6">
              <w:rPr>
                <w:rFonts w:cs="Arial"/>
                <w:sz w:val="24"/>
                <w:szCs w:val="24"/>
              </w:rPr>
              <w:t>highlighting</w:t>
            </w:r>
            <w:r>
              <w:rPr>
                <w:rFonts w:cs="Arial"/>
                <w:sz w:val="24"/>
                <w:szCs w:val="24"/>
              </w:rPr>
              <w:t xml:space="preserve"> </w:t>
            </w:r>
            <w:r w:rsidR="00854E1D">
              <w:rPr>
                <w:rFonts w:cs="Arial"/>
                <w:sz w:val="24"/>
                <w:szCs w:val="24"/>
              </w:rPr>
              <w:t>the</w:t>
            </w:r>
            <w:r>
              <w:rPr>
                <w:rFonts w:cs="Arial"/>
                <w:sz w:val="24"/>
                <w:szCs w:val="24"/>
              </w:rPr>
              <w:t xml:space="preserve"> option of group interviews at briefings </w:t>
            </w:r>
            <w:r w:rsidR="00B364AB">
              <w:rPr>
                <w:rFonts w:cs="Arial"/>
                <w:sz w:val="24"/>
                <w:szCs w:val="24"/>
              </w:rPr>
              <w:t>to</w:t>
            </w:r>
            <w:r>
              <w:rPr>
                <w:rFonts w:cs="Arial"/>
                <w:sz w:val="24"/>
                <w:szCs w:val="24"/>
              </w:rPr>
              <w:t xml:space="preserve"> help </w:t>
            </w:r>
            <w:r w:rsidR="008C582E">
              <w:rPr>
                <w:rFonts w:cs="Arial"/>
                <w:sz w:val="24"/>
                <w:szCs w:val="24"/>
              </w:rPr>
              <w:t xml:space="preserve">with </w:t>
            </w:r>
            <w:r>
              <w:rPr>
                <w:rFonts w:cs="Arial"/>
                <w:sz w:val="24"/>
                <w:szCs w:val="24"/>
              </w:rPr>
              <w:t>the drop off rate for those that are anxious about participating individually. AT</w:t>
            </w:r>
            <w:r w:rsidR="00854E1D">
              <w:rPr>
                <w:rFonts w:cs="Arial"/>
                <w:sz w:val="24"/>
                <w:szCs w:val="24"/>
              </w:rPr>
              <w:t xml:space="preserve"> </w:t>
            </w:r>
            <w:r w:rsidR="00B364AB">
              <w:rPr>
                <w:rFonts w:cs="Arial"/>
                <w:sz w:val="24"/>
                <w:szCs w:val="24"/>
              </w:rPr>
              <w:t xml:space="preserve">advised this </w:t>
            </w:r>
            <w:r>
              <w:rPr>
                <w:rFonts w:cs="Arial"/>
                <w:sz w:val="24"/>
                <w:szCs w:val="24"/>
              </w:rPr>
              <w:t>could be an option</w:t>
            </w:r>
            <w:r w:rsidR="00854E1D">
              <w:rPr>
                <w:rFonts w:cs="Arial"/>
                <w:sz w:val="24"/>
                <w:szCs w:val="24"/>
              </w:rPr>
              <w:t xml:space="preserve">. </w:t>
            </w:r>
            <w:r>
              <w:rPr>
                <w:rFonts w:cs="Arial"/>
                <w:sz w:val="24"/>
                <w:szCs w:val="24"/>
              </w:rPr>
              <w:t>BS confirmed Unison have not looked at communicating group interviews yet but advised they can if required. BS advised the same communication should be used for the services and trade unions for consistency</w:t>
            </w:r>
            <w:r w:rsidR="00B732E8">
              <w:rPr>
                <w:rFonts w:cs="Arial"/>
                <w:sz w:val="24"/>
                <w:szCs w:val="24"/>
              </w:rPr>
              <w:t xml:space="preserve"> when this happens. </w:t>
            </w:r>
          </w:p>
          <w:p w14:paraId="5209267A" w14:textId="77777777" w:rsidR="00E8572A" w:rsidRPr="009C2819" w:rsidRDefault="00E8572A" w:rsidP="009C2819">
            <w:pPr>
              <w:spacing w:line="276" w:lineRule="auto"/>
              <w:jc w:val="both"/>
              <w:rPr>
                <w:rFonts w:cs="Arial"/>
                <w:sz w:val="24"/>
                <w:szCs w:val="24"/>
              </w:rPr>
            </w:pPr>
          </w:p>
          <w:p w14:paraId="0754DCA2" w14:textId="094758FE" w:rsidR="00E150BC" w:rsidRDefault="009C2819" w:rsidP="007A7B92">
            <w:pPr>
              <w:pStyle w:val="ListParagraph"/>
              <w:numPr>
                <w:ilvl w:val="1"/>
                <w:numId w:val="2"/>
              </w:numPr>
              <w:jc w:val="both"/>
              <w:rPr>
                <w:rFonts w:cs="Arial"/>
                <w:sz w:val="24"/>
                <w:szCs w:val="24"/>
              </w:rPr>
            </w:pPr>
            <w:r>
              <w:rPr>
                <w:rFonts w:cs="Arial"/>
                <w:sz w:val="24"/>
                <w:szCs w:val="24"/>
              </w:rPr>
              <w:t xml:space="preserve">Unison </w:t>
            </w:r>
            <w:r w:rsidR="00B732E8">
              <w:rPr>
                <w:rFonts w:cs="Arial"/>
                <w:sz w:val="24"/>
                <w:szCs w:val="24"/>
              </w:rPr>
              <w:t>anticipated</w:t>
            </w:r>
            <w:r w:rsidR="008C582E">
              <w:rPr>
                <w:rFonts w:cs="Arial"/>
                <w:sz w:val="24"/>
                <w:szCs w:val="24"/>
              </w:rPr>
              <w:t xml:space="preserve"> </w:t>
            </w:r>
            <w:r w:rsidR="00B364AB">
              <w:rPr>
                <w:rFonts w:cs="Arial"/>
                <w:sz w:val="24"/>
                <w:szCs w:val="24"/>
              </w:rPr>
              <w:t>higher completion figures for</w:t>
            </w:r>
            <w:r w:rsidR="0017255D">
              <w:rPr>
                <w:rFonts w:cs="Arial"/>
                <w:sz w:val="24"/>
                <w:szCs w:val="24"/>
              </w:rPr>
              <w:t xml:space="preserve"> certain</w:t>
            </w:r>
            <w:r>
              <w:rPr>
                <w:rFonts w:cs="Arial"/>
                <w:sz w:val="24"/>
                <w:szCs w:val="24"/>
              </w:rPr>
              <w:t xml:space="preserve"> HSCP positions based on Trade Union representation</w:t>
            </w:r>
            <w:r w:rsidR="00B364AB">
              <w:rPr>
                <w:rFonts w:cs="Arial"/>
                <w:sz w:val="24"/>
                <w:szCs w:val="24"/>
              </w:rPr>
              <w:t xml:space="preserve"> utilisation</w:t>
            </w:r>
            <w:r>
              <w:rPr>
                <w:rFonts w:cs="Arial"/>
                <w:sz w:val="24"/>
                <w:szCs w:val="24"/>
              </w:rPr>
              <w:t xml:space="preserve">. AT </w:t>
            </w:r>
            <w:r w:rsidR="009A1D74">
              <w:rPr>
                <w:rFonts w:cs="Arial"/>
                <w:sz w:val="24"/>
                <w:szCs w:val="24"/>
              </w:rPr>
              <w:t>explained</w:t>
            </w:r>
            <w:r>
              <w:rPr>
                <w:rFonts w:cs="Arial"/>
                <w:sz w:val="24"/>
                <w:szCs w:val="24"/>
              </w:rPr>
              <w:t xml:space="preserve"> </w:t>
            </w:r>
            <w:r w:rsidR="00B364AB">
              <w:rPr>
                <w:rFonts w:cs="Arial"/>
                <w:sz w:val="24"/>
                <w:szCs w:val="24"/>
              </w:rPr>
              <w:t>there</w:t>
            </w:r>
            <w:r>
              <w:rPr>
                <w:rFonts w:cs="Arial"/>
                <w:sz w:val="24"/>
                <w:szCs w:val="24"/>
              </w:rPr>
              <w:t xml:space="preserve"> may be a</w:t>
            </w:r>
            <w:r w:rsidR="00B364AB">
              <w:rPr>
                <w:rFonts w:cs="Arial"/>
                <w:sz w:val="24"/>
                <w:szCs w:val="24"/>
              </w:rPr>
              <w:t xml:space="preserve"> </w:t>
            </w:r>
            <w:r>
              <w:rPr>
                <w:rFonts w:cs="Arial"/>
                <w:sz w:val="24"/>
                <w:szCs w:val="24"/>
              </w:rPr>
              <w:t xml:space="preserve">slight </w:t>
            </w:r>
            <w:r w:rsidR="0017120D">
              <w:rPr>
                <w:rFonts w:cs="Arial"/>
                <w:sz w:val="24"/>
                <w:szCs w:val="24"/>
              </w:rPr>
              <w:t>difference</w:t>
            </w:r>
            <w:r w:rsidR="00B364AB">
              <w:rPr>
                <w:rFonts w:cs="Arial"/>
                <w:sz w:val="24"/>
                <w:szCs w:val="24"/>
              </w:rPr>
              <w:t xml:space="preserve"> in volumes</w:t>
            </w:r>
            <w:r>
              <w:rPr>
                <w:rFonts w:cs="Arial"/>
                <w:sz w:val="24"/>
                <w:szCs w:val="24"/>
              </w:rPr>
              <w:t xml:space="preserve"> </w:t>
            </w:r>
            <w:r w:rsidR="009A1D74">
              <w:rPr>
                <w:rFonts w:cs="Arial"/>
                <w:sz w:val="24"/>
                <w:szCs w:val="24"/>
              </w:rPr>
              <w:t xml:space="preserve">since the report was generated.  </w:t>
            </w:r>
            <w:r w:rsidR="00B364AB">
              <w:rPr>
                <w:rFonts w:cs="Arial"/>
                <w:sz w:val="24"/>
                <w:szCs w:val="24"/>
              </w:rPr>
              <w:t xml:space="preserve"> </w:t>
            </w:r>
          </w:p>
          <w:p w14:paraId="4C4695D2" w14:textId="77777777" w:rsidR="009C2819" w:rsidRPr="009C2819" w:rsidRDefault="009C2819" w:rsidP="009C2819">
            <w:pPr>
              <w:pStyle w:val="ListParagraph"/>
              <w:rPr>
                <w:rFonts w:cs="Arial"/>
                <w:sz w:val="24"/>
                <w:szCs w:val="24"/>
              </w:rPr>
            </w:pPr>
          </w:p>
          <w:p w14:paraId="14ADD41E" w14:textId="2A52381F" w:rsidR="009C2819" w:rsidRPr="009A1D74" w:rsidRDefault="009C2819" w:rsidP="009A1D74">
            <w:pPr>
              <w:pStyle w:val="ListParagraph"/>
              <w:numPr>
                <w:ilvl w:val="1"/>
                <w:numId w:val="2"/>
              </w:numPr>
              <w:jc w:val="both"/>
              <w:rPr>
                <w:rFonts w:cs="Arial"/>
                <w:sz w:val="24"/>
                <w:szCs w:val="24"/>
              </w:rPr>
            </w:pPr>
            <w:r w:rsidRPr="00057834">
              <w:rPr>
                <w:rFonts w:cs="Arial"/>
                <w:sz w:val="24"/>
                <w:szCs w:val="24"/>
              </w:rPr>
              <w:t xml:space="preserve">DN queried if the illustrative sample size </w:t>
            </w:r>
            <w:r w:rsidR="008C582E">
              <w:rPr>
                <w:rFonts w:cs="Arial"/>
                <w:sz w:val="24"/>
                <w:szCs w:val="24"/>
              </w:rPr>
              <w:t>could</w:t>
            </w:r>
            <w:r w:rsidRPr="00057834">
              <w:rPr>
                <w:rFonts w:cs="Arial"/>
                <w:sz w:val="24"/>
                <w:szCs w:val="24"/>
              </w:rPr>
              <w:t xml:space="preserve"> change.  AT</w:t>
            </w:r>
            <w:r w:rsidR="00B9190F" w:rsidRPr="00057834">
              <w:rPr>
                <w:rFonts w:cs="Arial"/>
                <w:sz w:val="24"/>
                <w:szCs w:val="24"/>
              </w:rPr>
              <w:t xml:space="preserve"> </w:t>
            </w:r>
            <w:r w:rsidR="009A1D74">
              <w:rPr>
                <w:rFonts w:cs="Arial"/>
                <w:sz w:val="24"/>
                <w:szCs w:val="24"/>
              </w:rPr>
              <w:t>advised</w:t>
            </w:r>
            <w:r w:rsidRPr="00057834">
              <w:rPr>
                <w:rFonts w:cs="Arial"/>
                <w:sz w:val="24"/>
                <w:szCs w:val="24"/>
              </w:rPr>
              <w:t xml:space="preserve"> </w:t>
            </w:r>
            <w:r w:rsidR="00057834">
              <w:rPr>
                <w:rFonts w:cs="Arial"/>
                <w:sz w:val="24"/>
                <w:szCs w:val="24"/>
              </w:rPr>
              <w:t>it is too early to tell but</w:t>
            </w:r>
            <w:r w:rsidR="008C582E">
              <w:rPr>
                <w:rFonts w:cs="Arial"/>
                <w:sz w:val="24"/>
                <w:szCs w:val="24"/>
              </w:rPr>
              <w:t xml:space="preserve"> confirmed</w:t>
            </w:r>
            <w:r w:rsidR="00B9190F" w:rsidRPr="00057834">
              <w:rPr>
                <w:rFonts w:cs="Arial"/>
                <w:sz w:val="24"/>
                <w:szCs w:val="24"/>
              </w:rPr>
              <w:t xml:space="preserve"> </w:t>
            </w:r>
            <w:r w:rsidR="00D26B7C" w:rsidRPr="00057834">
              <w:rPr>
                <w:rFonts w:cs="Arial"/>
                <w:sz w:val="24"/>
                <w:szCs w:val="24"/>
              </w:rPr>
              <w:t xml:space="preserve">the </w:t>
            </w:r>
            <w:r w:rsidR="00B9190F" w:rsidRPr="00057834">
              <w:rPr>
                <w:rFonts w:cs="Arial"/>
                <w:sz w:val="24"/>
                <w:szCs w:val="24"/>
              </w:rPr>
              <w:t>illustrative sample size should be used as a guide</w:t>
            </w:r>
            <w:r w:rsidR="005D3ED6" w:rsidRPr="00057834">
              <w:rPr>
                <w:rFonts w:cs="Arial"/>
                <w:sz w:val="24"/>
                <w:szCs w:val="24"/>
              </w:rPr>
              <w:t xml:space="preserve"> rather than a definitive number so that it</w:t>
            </w:r>
            <w:r w:rsidR="00B9190F" w:rsidRPr="00057834">
              <w:rPr>
                <w:rFonts w:cs="Arial"/>
                <w:sz w:val="24"/>
                <w:szCs w:val="24"/>
              </w:rPr>
              <w:t xml:space="preserve"> can be </w:t>
            </w:r>
            <w:r w:rsidR="000526A2" w:rsidRPr="00057834">
              <w:rPr>
                <w:rFonts w:cs="Arial"/>
                <w:sz w:val="24"/>
                <w:szCs w:val="24"/>
              </w:rPr>
              <w:t xml:space="preserve">increased or decreased </w:t>
            </w:r>
            <w:r w:rsidR="005D3ED6" w:rsidRPr="00057834">
              <w:rPr>
                <w:rFonts w:cs="Arial"/>
                <w:sz w:val="24"/>
                <w:szCs w:val="24"/>
              </w:rPr>
              <w:t xml:space="preserve">if </w:t>
            </w:r>
            <w:r w:rsidR="000526A2" w:rsidRPr="00057834">
              <w:rPr>
                <w:rFonts w:cs="Arial"/>
                <w:sz w:val="24"/>
                <w:szCs w:val="24"/>
              </w:rPr>
              <w:t>required</w:t>
            </w:r>
            <w:r w:rsidR="005D3ED6" w:rsidRPr="00057834">
              <w:rPr>
                <w:rFonts w:cs="Arial"/>
                <w:sz w:val="24"/>
                <w:szCs w:val="24"/>
              </w:rPr>
              <w:t>.</w:t>
            </w:r>
            <w:r w:rsidRPr="00057834">
              <w:rPr>
                <w:rFonts w:cs="Arial"/>
                <w:sz w:val="24"/>
                <w:szCs w:val="24"/>
              </w:rPr>
              <w:t xml:space="preserve"> AT </w:t>
            </w:r>
            <w:r w:rsidR="009A1D74">
              <w:rPr>
                <w:rFonts w:cs="Arial"/>
                <w:sz w:val="24"/>
                <w:szCs w:val="24"/>
              </w:rPr>
              <w:t>explained</w:t>
            </w:r>
            <w:r w:rsidRPr="00057834">
              <w:rPr>
                <w:rFonts w:cs="Arial"/>
                <w:sz w:val="24"/>
                <w:szCs w:val="24"/>
              </w:rPr>
              <w:t xml:space="preserve"> the raw data currently show</w:t>
            </w:r>
            <w:r w:rsidR="008C582E">
              <w:rPr>
                <w:rFonts w:cs="Arial"/>
                <w:sz w:val="24"/>
                <w:szCs w:val="24"/>
              </w:rPr>
              <w:t>s</w:t>
            </w:r>
            <w:r w:rsidRPr="00057834">
              <w:rPr>
                <w:rFonts w:cs="Arial"/>
                <w:sz w:val="24"/>
                <w:szCs w:val="24"/>
              </w:rPr>
              <w:t xml:space="preserve"> some consistency which </w:t>
            </w:r>
            <w:r w:rsidR="00057834" w:rsidRPr="00057834">
              <w:rPr>
                <w:rFonts w:cs="Arial"/>
                <w:sz w:val="24"/>
                <w:szCs w:val="24"/>
              </w:rPr>
              <w:t xml:space="preserve">gives a degree of </w:t>
            </w:r>
            <w:r w:rsidR="008C582E" w:rsidRPr="00057834">
              <w:rPr>
                <w:rFonts w:cs="Arial"/>
                <w:sz w:val="24"/>
                <w:szCs w:val="24"/>
              </w:rPr>
              <w:t>confidence but</w:t>
            </w:r>
            <w:r w:rsidR="008C582E">
              <w:rPr>
                <w:rFonts w:cs="Arial"/>
                <w:sz w:val="24"/>
                <w:szCs w:val="24"/>
              </w:rPr>
              <w:t xml:space="preserve"> stressed </w:t>
            </w:r>
            <w:r w:rsidR="00B732E8">
              <w:rPr>
                <w:rFonts w:cs="Arial"/>
                <w:sz w:val="24"/>
                <w:szCs w:val="24"/>
              </w:rPr>
              <w:t>it</w:t>
            </w:r>
            <w:r w:rsidR="008C582E">
              <w:rPr>
                <w:rFonts w:cs="Arial"/>
                <w:sz w:val="24"/>
                <w:szCs w:val="24"/>
              </w:rPr>
              <w:t xml:space="preserve"> </w:t>
            </w:r>
            <w:r w:rsidR="009A1D74">
              <w:rPr>
                <w:rFonts w:cs="Arial"/>
                <w:sz w:val="24"/>
                <w:szCs w:val="24"/>
              </w:rPr>
              <w:t>is only</w:t>
            </w:r>
            <w:r w:rsidR="008C582E">
              <w:rPr>
                <w:rFonts w:cs="Arial"/>
                <w:sz w:val="24"/>
                <w:szCs w:val="24"/>
              </w:rPr>
              <w:t xml:space="preserve"> raw data and</w:t>
            </w:r>
            <w:r w:rsidR="00057834" w:rsidRPr="00057834">
              <w:rPr>
                <w:rFonts w:cs="Arial"/>
                <w:sz w:val="24"/>
                <w:szCs w:val="24"/>
              </w:rPr>
              <w:t xml:space="preserve"> verification of the </w:t>
            </w:r>
            <w:r w:rsidR="00B732E8">
              <w:rPr>
                <w:rFonts w:cs="Arial"/>
                <w:sz w:val="24"/>
                <w:szCs w:val="24"/>
              </w:rPr>
              <w:t>Job Overview Document (</w:t>
            </w:r>
            <w:r w:rsidR="00057834" w:rsidRPr="00057834">
              <w:rPr>
                <w:rFonts w:cs="Arial"/>
                <w:sz w:val="24"/>
                <w:szCs w:val="24"/>
              </w:rPr>
              <w:t>JOD</w:t>
            </w:r>
            <w:r w:rsidR="00B732E8">
              <w:rPr>
                <w:rFonts w:cs="Arial"/>
                <w:sz w:val="24"/>
                <w:szCs w:val="24"/>
              </w:rPr>
              <w:t>)</w:t>
            </w:r>
            <w:r w:rsidR="00057834" w:rsidRPr="00057834">
              <w:rPr>
                <w:rFonts w:cs="Arial"/>
                <w:sz w:val="24"/>
                <w:szCs w:val="24"/>
              </w:rPr>
              <w:t xml:space="preserve"> </w:t>
            </w:r>
            <w:r w:rsidR="008C582E">
              <w:rPr>
                <w:rFonts w:cs="Arial"/>
                <w:sz w:val="24"/>
                <w:szCs w:val="24"/>
              </w:rPr>
              <w:t>could</w:t>
            </w:r>
            <w:r w:rsidR="00057834" w:rsidRPr="00057834">
              <w:rPr>
                <w:rFonts w:cs="Arial"/>
                <w:sz w:val="24"/>
                <w:szCs w:val="24"/>
              </w:rPr>
              <w:t xml:space="preserve"> identify</w:t>
            </w:r>
            <w:r w:rsidR="00B732E8">
              <w:rPr>
                <w:rFonts w:cs="Arial"/>
                <w:sz w:val="24"/>
                <w:szCs w:val="24"/>
              </w:rPr>
              <w:t xml:space="preserve"> a requirement for</w:t>
            </w:r>
            <w:r w:rsidR="00057834" w:rsidRPr="00057834">
              <w:rPr>
                <w:rFonts w:cs="Arial"/>
                <w:sz w:val="24"/>
                <w:szCs w:val="24"/>
              </w:rPr>
              <w:t xml:space="preserve"> further interviews. </w:t>
            </w:r>
          </w:p>
          <w:p w14:paraId="5E365DA1" w14:textId="78402870" w:rsidR="00E8572A" w:rsidRPr="006E783F" w:rsidRDefault="00E8572A" w:rsidP="00DE1BAB">
            <w:pPr>
              <w:jc w:val="both"/>
              <w:rPr>
                <w:rFonts w:cs="Arial"/>
                <w:b/>
                <w:bCs/>
                <w:sz w:val="24"/>
                <w:szCs w:val="24"/>
              </w:rPr>
            </w:pPr>
          </w:p>
        </w:tc>
      </w:tr>
      <w:tr w:rsidR="009561E1" w:rsidRPr="00CC27B6" w14:paraId="2B42E88C" w14:textId="77777777" w:rsidTr="00291599">
        <w:tc>
          <w:tcPr>
            <w:tcW w:w="8926" w:type="dxa"/>
          </w:tcPr>
          <w:p w14:paraId="20DD1F38" w14:textId="77777777" w:rsidR="009561E1" w:rsidRDefault="009561E1" w:rsidP="00DE1BAB">
            <w:pPr>
              <w:pStyle w:val="ListParagraph"/>
              <w:numPr>
                <w:ilvl w:val="0"/>
                <w:numId w:val="1"/>
              </w:numPr>
              <w:rPr>
                <w:rFonts w:cs="Arial"/>
                <w:b/>
                <w:sz w:val="24"/>
                <w:szCs w:val="24"/>
              </w:rPr>
            </w:pPr>
            <w:r>
              <w:rPr>
                <w:rFonts w:cs="Arial"/>
                <w:b/>
                <w:sz w:val="24"/>
                <w:szCs w:val="24"/>
              </w:rPr>
              <w:lastRenderedPageBreak/>
              <w:t>Interview Methods Breakdown</w:t>
            </w:r>
          </w:p>
          <w:p w14:paraId="2A4A1137" w14:textId="77777777" w:rsidR="009561E1" w:rsidRDefault="009561E1" w:rsidP="009561E1">
            <w:pPr>
              <w:rPr>
                <w:rFonts w:cs="Arial"/>
                <w:b/>
                <w:sz w:val="24"/>
                <w:szCs w:val="24"/>
              </w:rPr>
            </w:pPr>
          </w:p>
          <w:p w14:paraId="01F5608E" w14:textId="77777777" w:rsidR="00E8572A" w:rsidRPr="00E8572A" w:rsidRDefault="00E8572A" w:rsidP="00E8572A">
            <w:pPr>
              <w:pStyle w:val="ListParagraph"/>
              <w:numPr>
                <w:ilvl w:val="0"/>
                <w:numId w:val="2"/>
              </w:numPr>
              <w:jc w:val="both"/>
              <w:rPr>
                <w:rFonts w:cs="Arial"/>
                <w:vanish/>
                <w:sz w:val="24"/>
                <w:szCs w:val="24"/>
              </w:rPr>
            </w:pPr>
          </w:p>
          <w:p w14:paraId="31A0ECA5" w14:textId="765D91D7" w:rsidR="009561E1" w:rsidRDefault="009561E1" w:rsidP="00E8572A">
            <w:pPr>
              <w:pStyle w:val="ListParagraph"/>
              <w:numPr>
                <w:ilvl w:val="1"/>
                <w:numId w:val="2"/>
              </w:numPr>
              <w:jc w:val="both"/>
              <w:rPr>
                <w:rFonts w:cs="Arial"/>
                <w:sz w:val="24"/>
                <w:szCs w:val="24"/>
              </w:rPr>
            </w:pPr>
            <w:r w:rsidRPr="007A7B92">
              <w:rPr>
                <w:rFonts w:cs="Arial"/>
                <w:sz w:val="24"/>
                <w:szCs w:val="24"/>
              </w:rPr>
              <w:t xml:space="preserve">AT summarised the </w:t>
            </w:r>
            <w:r w:rsidR="00CD3C50">
              <w:rPr>
                <w:rFonts w:cs="Arial"/>
                <w:sz w:val="24"/>
                <w:szCs w:val="24"/>
              </w:rPr>
              <w:t xml:space="preserve">statistics. </w:t>
            </w:r>
            <w:r w:rsidR="008C582E">
              <w:rPr>
                <w:rFonts w:cs="Arial"/>
                <w:sz w:val="24"/>
                <w:szCs w:val="24"/>
              </w:rPr>
              <w:t xml:space="preserve"> </w:t>
            </w:r>
          </w:p>
          <w:p w14:paraId="0D46F9ED" w14:textId="77777777" w:rsidR="0050752F" w:rsidRPr="00057834" w:rsidRDefault="0050752F" w:rsidP="00057834">
            <w:pPr>
              <w:jc w:val="both"/>
              <w:rPr>
                <w:rFonts w:cs="Arial"/>
                <w:b/>
                <w:sz w:val="24"/>
                <w:szCs w:val="24"/>
              </w:rPr>
            </w:pPr>
          </w:p>
          <w:p w14:paraId="2F91526D" w14:textId="3881AD6A" w:rsidR="009561E1" w:rsidRPr="00CD3C50" w:rsidRDefault="008C582E" w:rsidP="007A7B92">
            <w:pPr>
              <w:pStyle w:val="ListParagraph"/>
              <w:numPr>
                <w:ilvl w:val="1"/>
                <w:numId w:val="2"/>
              </w:numPr>
              <w:jc w:val="both"/>
              <w:rPr>
                <w:rFonts w:cs="Arial"/>
                <w:b/>
                <w:sz w:val="24"/>
                <w:szCs w:val="24"/>
              </w:rPr>
            </w:pPr>
            <w:r>
              <w:rPr>
                <w:rFonts w:cs="Arial"/>
                <w:sz w:val="24"/>
                <w:szCs w:val="24"/>
              </w:rPr>
              <w:t xml:space="preserve">AT </w:t>
            </w:r>
            <w:r w:rsidR="00B732E8">
              <w:rPr>
                <w:rFonts w:cs="Arial"/>
                <w:sz w:val="24"/>
                <w:szCs w:val="24"/>
              </w:rPr>
              <w:t>advised</w:t>
            </w:r>
            <w:r w:rsidR="00CD3C50">
              <w:rPr>
                <w:rFonts w:cs="Arial"/>
                <w:sz w:val="24"/>
                <w:szCs w:val="24"/>
              </w:rPr>
              <w:t xml:space="preserve"> Microsoft Teams is still preferrable for some job holders and confirmed this option should continue along with face-to-face participation. </w:t>
            </w:r>
            <w:r w:rsidR="00057834">
              <w:rPr>
                <w:rFonts w:cs="Arial"/>
                <w:sz w:val="24"/>
                <w:szCs w:val="24"/>
              </w:rPr>
              <w:t xml:space="preserve">JB </w:t>
            </w:r>
            <w:r w:rsidR="00B732E8">
              <w:rPr>
                <w:rFonts w:cs="Arial"/>
                <w:sz w:val="24"/>
                <w:szCs w:val="24"/>
              </w:rPr>
              <w:t>agreed</w:t>
            </w:r>
            <w:r w:rsidR="00CD3C50">
              <w:rPr>
                <w:rFonts w:cs="Arial"/>
                <w:sz w:val="24"/>
                <w:szCs w:val="24"/>
              </w:rPr>
              <w:t>.</w:t>
            </w:r>
          </w:p>
          <w:p w14:paraId="2319AE5D" w14:textId="240A05E8" w:rsidR="00CD3C50" w:rsidRPr="00CD3C50" w:rsidRDefault="00CD3C50" w:rsidP="00CD3C50">
            <w:pPr>
              <w:jc w:val="both"/>
              <w:rPr>
                <w:rFonts w:cs="Arial"/>
                <w:b/>
                <w:sz w:val="24"/>
                <w:szCs w:val="24"/>
              </w:rPr>
            </w:pPr>
          </w:p>
        </w:tc>
      </w:tr>
      <w:tr w:rsidR="00057834" w:rsidRPr="00CC27B6" w14:paraId="2D01133D" w14:textId="77777777" w:rsidTr="00291599">
        <w:tc>
          <w:tcPr>
            <w:tcW w:w="8926" w:type="dxa"/>
          </w:tcPr>
          <w:p w14:paraId="3F94BFB1" w14:textId="02E0EFE3" w:rsidR="00046CDD" w:rsidRDefault="00046CDD" w:rsidP="00046CDD">
            <w:pPr>
              <w:pStyle w:val="ListParagraph"/>
              <w:numPr>
                <w:ilvl w:val="0"/>
                <w:numId w:val="1"/>
              </w:numPr>
              <w:rPr>
                <w:rFonts w:cs="Arial"/>
                <w:b/>
                <w:sz w:val="24"/>
                <w:szCs w:val="24"/>
              </w:rPr>
            </w:pPr>
            <w:r w:rsidRPr="00046CDD">
              <w:rPr>
                <w:rFonts w:cs="Arial"/>
                <w:b/>
                <w:sz w:val="24"/>
                <w:szCs w:val="24"/>
              </w:rPr>
              <w:t>Benchmark Job Mappings</w:t>
            </w:r>
          </w:p>
          <w:p w14:paraId="0A5F974F" w14:textId="678197A3" w:rsidR="00046CDD" w:rsidRDefault="00046CDD" w:rsidP="00046CDD">
            <w:pPr>
              <w:rPr>
                <w:rFonts w:cs="Arial"/>
                <w:b/>
                <w:sz w:val="24"/>
                <w:szCs w:val="24"/>
              </w:rPr>
            </w:pPr>
          </w:p>
          <w:p w14:paraId="1B1511E7" w14:textId="77777777" w:rsidR="00B732E8" w:rsidRPr="00B732E8" w:rsidRDefault="00B732E8" w:rsidP="00B732E8">
            <w:pPr>
              <w:pStyle w:val="ListParagraph"/>
              <w:numPr>
                <w:ilvl w:val="0"/>
                <w:numId w:val="2"/>
              </w:numPr>
              <w:jc w:val="both"/>
              <w:rPr>
                <w:rFonts w:cs="Arial"/>
                <w:vanish/>
                <w:sz w:val="24"/>
                <w:szCs w:val="24"/>
              </w:rPr>
            </w:pPr>
          </w:p>
          <w:p w14:paraId="6AA0BCB3" w14:textId="52CE7FB8" w:rsidR="0036784F" w:rsidRDefault="00046CDD" w:rsidP="00B732E8">
            <w:pPr>
              <w:pStyle w:val="ListParagraph"/>
              <w:numPr>
                <w:ilvl w:val="1"/>
                <w:numId w:val="2"/>
              </w:numPr>
              <w:jc w:val="both"/>
              <w:rPr>
                <w:rFonts w:cs="Arial"/>
                <w:sz w:val="24"/>
                <w:szCs w:val="24"/>
              </w:rPr>
            </w:pPr>
            <w:r w:rsidRPr="00046CDD">
              <w:rPr>
                <w:rFonts w:cs="Arial"/>
                <w:sz w:val="24"/>
                <w:szCs w:val="24"/>
              </w:rPr>
              <w:t>AT referred to the document and confirmed the support team are working with the services monthly to ensure</w:t>
            </w:r>
            <w:r w:rsidR="00BE017F">
              <w:rPr>
                <w:rFonts w:cs="Arial"/>
                <w:sz w:val="24"/>
                <w:szCs w:val="24"/>
              </w:rPr>
              <w:t xml:space="preserve"> all</w:t>
            </w:r>
            <w:r w:rsidRPr="00046CDD">
              <w:rPr>
                <w:rFonts w:cs="Arial"/>
                <w:sz w:val="24"/>
                <w:szCs w:val="24"/>
              </w:rPr>
              <w:t xml:space="preserve"> SAP positions are mapped to an accepted position</w:t>
            </w:r>
            <w:r w:rsidR="00BE017F">
              <w:rPr>
                <w:rFonts w:cs="Arial"/>
                <w:sz w:val="24"/>
                <w:szCs w:val="24"/>
              </w:rPr>
              <w:t xml:space="preserve"> for the purposes of benchmark, secondary benchmark, and unique position volumes and categorisation.</w:t>
            </w:r>
            <w:r w:rsidRPr="00046CDD">
              <w:rPr>
                <w:rFonts w:cs="Arial"/>
                <w:sz w:val="24"/>
                <w:szCs w:val="24"/>
              </w:rPr>
              <w:t xml:space="preserve"> </w:t>
            </w:r>
          </w:p>
          <w:p w14:paraId="0BD2B1F1" w14:textId="77777777" w:rsidR="00057834" w:rsidRPr="0017120D" w:rsidRDefault="00057834" w:rsidP="0017120D">
            <w:pPr>
              <w:jc w:val="both"/>
              <w:rPr>
                <w:rFonts w:cs="Arial"/>
                <w:b/>
                <w:sz w:val="24"/>
                <w:szCs w:val="24"/>
              </w:rPr>
            </w:pPr>
          </w:p>
        </w:tc>
      </w:tr>
      <w:tr w:rsidR="00DE1BAB" w:rsidRPr="00CC27B6" w14:paraId="151780E0" w14:textId="77777777" w:rsidTr="00291599">
        <w:tc>
          <w:tcPr>
            <w:tcW w:w="8926" w:type="dxa"/>
          </w:tcPr>
          <w:p w14:paraId="4BE02229" w14:textId="0881B7C5" w:rsidR="00DE1BAB" w:rsidRPr="00B06131" w:rsidRDefault="00DE1BAB" w:rsidP="00DE1BAB">
            <w:pPr>
              <w:pStyle w:val="ListParagraph"/>
              <w:numPr>
                <w:ilvl w:val="0"/>
                <w:numId w:val="1"/>
              </w:numPr>
              <w:rPr>
                <w:rFonts w:cs="Arial"/>
                <w:b/>
                <w:sz w:val="24"/>
                <w:szCs w:val="24"/>
              </w:rPr>
            </w:pPr>
            <w:r>
              <w:rPr>
                <w:rFonts w:cs="Arial"/>
                <w:b/>
                <w:sz w:val="24"/>
                <w:szCs w:val="24"/>
              </w:rPr>
              <w:t>Risk Register</w:t>
            </w:r>
          </w:p>
          <w:p w14:paraId="04A9292C" w14:textId="10F4715C" w:rsidR="00DE1BAB" w:rsidRDefault="00DE1BAB" w:rsidP="00DE1BAB">
            <w:pPr>
              <w:rPr>
                <w:rFonts w:cs="Arial"/>
                <w:b/>
                <w:sz w:val="24"/>
                <w:szCs w:val="24"/>
              </w:rPr>
            </w:pPr>
          </w:p>
          <w:p w14:paraId="04A31CBD" w14:textId="77777777" w:rsidR="00DE1BAB" w:rsidRPr="00346152" w:rsidRDefault="00DE1BAB" w:rsidP="00DE1BAB">
            <w:pPr>
              <w:pStyle w:val="ListParagraph"/>
              <w:numPr>
                <w:ilvl w:val="0"/>
                <w:numId w:val="2"/>
              </w:numPr>
              <w:jc w:val="both"/>
              <w:rPr>
                <w:rFonts w:cs="Arial"/>
                <w:vanish/>
                <w:sz w:val="24"/>
                <w:szCs w:val="24"/>
              </w:rPr>
            </w:pPr>
          </w:p>
          <w:p w14:paraId="2401B32F" w14:textId="2B41E2D0" w:rsidR="00DE1BAB" w:rsidRDefault="0036784F" w:rsidP="00DE1BAB">
            <w:pPr>
              <w:pStyle w:val="ListParagraph"/>
              <w:numPr>
                <w:ilvl w:val="1"/>
                <w:numId w:val="2"/>
              </w:numPr>
              <w:jc w:val="both"/>
              <w:rPr>
                <w:rFonts w:cs="Arial"/>
                <w:sz w:val="24"/>
                <w:szCs w:val="24"/>
              </w:rPr>
            </w:pPr>
            <w:r>
              <w:rPr>
                <w:rFonts w:cs="Arial"/>
                <w:sz w:val="24"/>
                <w:szCs w:val="24"/>
              </w:rPr>
              <w:t>JB confirmed the risk register</w:t>
            </w:r>
            <w:r w:rsidR="00BE017F">
              <w:rPr>
                <w:rFonts w:cs="Arial"/>
                <w:sz w:val="24"/>
                <w:szCs w:val="24"/>
              </w:rPr>
              <w:t xml:space="preserve"> will be updated for the next meeting due to</w:t>
            </w:r>
            <w:r>
              <w:rPr>
                <w:rFonts w:cs="Arial"/>
                <w:sz w:val="24"/>
                <w:szCs w:val="24"/>
              </w:rPr>
              <w:t xml:space="preserve"> recent </w:t>
            </w:r>
            <w:r w:rsidR="00B81B19">
              <w:rPr>
                <w:rFonts w:cs="Arial"/>
                <w:sz w:val="24"/>
                <w:szCs w:val="24"/>
              </w:rPr>
              <w:t>developments</w:t>
            </w:r>
            <w:r w:rsidR="00BE017F">
              <w:rPr>
                <w:rFonts w:cs="Arial"/>
                <w:sz w:val="24"/>
                <w:szCs w:val="24"/>
              </w:rPr>
              <w:t>.</w:t>
            </w:r>
          </w:p>
          <w:p w14:paraId="2843695B" w14:textId="77777777" w:rsidR="0036784F" w:rsidRDefault="0036784F" w:rsidP="0036784F">
            <w:pPr>
              <w:pStyle w:val="ListParagraph"/>
              <w:ind w:left="792"/>
              <w:jc w:val="both"/>
              <w:rPr>
                <w:rFonts w:cs="Arial"/>
                <w:sz w:val="24"/>
                <w:szCs w:val="24"/>
              </w:rPr>
            </w:pPr>
          </w:p>
          <w:p w14:paraId="643D0C8E" w14:textId="6E6B7829" w:rsidR="00CD3C50" w:rsidRPr="00BE017F" w:rsidRDefault="0036784F" w:rsidP="00DE1BAB">
            <w:pPr>
              <w:jc w:val="both"/>
              <w:rPr>
                <w:rFonts w:cs="Arial"/>
                <w:b/>
                <w:bCs/>
                <w:sz w:val="24"/>
                <w:szCs w:val="24"/>
              </w:rPr>
            </w:pPr>
            <w:r w:rsidRPr="0036784F">
              <w:rPr>
                <w:rFonts w:cs="Arial"/>
                <w:b/>
                <w:bCs/>
                <w:sz w:val="24"/>
                <w:szCs w:val="24"/>
              </w:rPr>
              <w:t xml:space="preserve">ACTION: </w:t>
            </w:r>
            <w:r w:rsidR="00BE017F">
              <w:rPr>
                <w:rFonts w:cs="Arial"/>
                <w:b/>
                <w:bCs/>
                <w:sz w:val="24"/>
                <w:szCs w:val="24"/>
              </w:rPr>
              <w:t>Risk Register updates required for the next OSG meeting (NA)</w:t>
            </w:r>
          </w:p>
        </w:tc>
      </w:tr>
      <w:tr w:rsidR="0036784F" w14:paraId="536AB628" w14:textId="77777777" w:rsidTr="00291599">
        <w:tc>
          <w:tcPr>
            <w:tcW w:w="8926" w:type="dxa"/>
          </w:tcPr>
          <w:p w14:paraId="651EE110" w14:textId="77777777" w:rsidR="0036784F" w:rsidRDefault="0036784F" w:rsidP="00DE1BAB">
            <w:pPr>
              <w:pStyle w:val="ListParagraph"/>
              <w:numPr>
                <w:ilvl w:val="0"/>
                <w:numId w:val="1"/>
              </w:numPr>
              <w:rPr>
                <w:rFonts w:cs="Arial"/>
                <w:b/>
                <w:sz w:val="24"/>
                <w:szCs w:val="24"/>
              </w:rPr>
            </w:pPr>
            <w:r>
              <w:rPr>
                <w:rFonts w:cs="Arial"/>
                <w:b/>
                <w:sz w:val="24"/>
                <w:szCs w:val="24"/>
              </w:rPr>
              <w:t>Schedule of Meetings</w:t>
            </w:r>
          </w:p>
          <w:p w14:paraId="43A633AF" w14:textId="77777777" w:rsidR="0036784F" w:rsidRDefault="0036784F" w:rsidP="0036784F">
            <w:pPr>
              <w:rPr>
                <w:rFonts w:cs="Arial"/>
                <w:b/>
                <w:sz w:val="24"/>
                <w:szCs w:val="24"/>
              </w:rPr>
            </w:pPr>
          </w:p>
          <w:p w14:paraId="588B2DDE" w14:textId="77777777" w:rsidR="00BE017F" w:rsidRPr="00BE017F" w:rsidRDefault="00BE017F" w:rsidP="00BE017F">
            <w:pPr>
              <w:pStyle w:val="ListParagraph"/>
              <w:numPr>
                <w:ilvl w:val="0"/>
                <w:numId w:val="2"/>
              </w:numPr>
              <w:jc w:val="both"/>
              <w:rPr>
                <w:rFonts w:cs="Arial"/>
                <w:vanish/>
                <w:sz w:val="24"/>
                <w:szCs w:val="24"/>
              </w:rPr>
            </w:pPr>
          </w:p>
          <w:p w14:paraId="3C04F830" w14:textId="2AB90569" w:rsidR="00F51E9B" w:rsidRPr="00BE017F" w:rsidRDefault="0036784F" w:rsidP="00BE017F">
            <w:pPr>
              <w:pStyle w:val="ListParagraph"/>
              <w:numPr>
                <w:ilvl w:val="1"/>
                <w:numId w:val="2"/>
              </w:numPr>
              <w:jc w:val="both"/>
              <w:rPr>
                <w:rFonts w:cs="Arial"/>
                <w:b/>
                <w:sz w:val="24"/>
                <w:szCs w:val="24"/>
              </w:rPr>
            </w:pPr>
            <w:r w:rsidRPr="00CD3C50">
              <w:rPr>
                <w:rFonts w:cs="Arial"/>
                <w:sz w:val="24"/>
                <w:szCs w:val="24"/>
              </w:rPr>
              <w:t xml:space="preserve">JB confirmed the OSG </w:t>
            </w:r>
            <w:r w:rsidR="00F51E9B" w:rsidRPr="00CD3C50">
              <w:rPr>
                <w:rFonts w:cs="Arial"/>
                <w:sz w:val="24"/>
                <w:szCs w:val="24"/>
              </w:rPr>
              <w:t xml:space="preserve">frequency will now </w:t>
            </w:r>
            <w:r w:rsidR="0017120D" w:rsidRPr="00CD3C50">
              <w:rPr>
                <w:rFonts w:cs="Arial"/>
                <w:sz w:val="24"/>
                <w:szCs w:val="24"/>
              </w:rPr>
              <w:t>revert</w:t>
            </w:r>
            <w:r w:rsidR="00F51E9B" w:rsidRPr="00CD3C50">
              <w:rPr>
                <w:rFonts w:cs="Arial"/>
                <w:sz w:val="24"/>
                <w:szCs w:val="24"/>
              </w:rPr>
              <w:t xml:space="preserve"> to </w:t>
            </w:r>
            <w:r w:rsidR="0017120D" w:rsidRPr="00CD3C50">
              <w:rPr>
                <w:rFonts w:cs="Arial"/>
                <w:sz w:val="24"/>
                <w:szCs w:val="24"/>
              </w:rPr>
              <w:t>every four weeks</w:t>
            </w:r>
            <w:r w:rsidR="00F51E9B" w:rsidRPr="00CD3C50">
              <w:rPr>
                <w:rFonts w:cs="Arial"/>
                <w:sz w:val="24"/>
                <w:szCs w:val="24"/>
              </w:rPr>
              <w:t xml:space="preserve"> to </w:t>
            </w:r>
            <w:r w:rsidR="00CD3C50" w:rsidRPr="00CD3C50">
              <w:rPr>
                <w:rFonts w:cs="Arial"/>
                <w:sz w:val="24"/>
                <w:szCs w:val="24"/>
              </w:rPr>
              <w:t>enable</w:t>
            </w:r>
            <w:r w:rsidR="00F51E9B" w:rsidRPr="00CD3C50">
              <w:rPr>
                <w:rFonts w:cs="Arial"/>
                <w:sz w:val="24"/>
                <w:szCs w:val="24"/>
              </w:rPr>
              <w:t xml:space="preserve"> quicker decision making</w:t>
            </w:r>
            <w:r w:rsidR="0017120D" w:rsidRPr="00CD3C50">
              <w:rPr>
                <w:rFonts w:cs="Arial"/>
                <w:sz w:val="24"/>
                <w:szCs w:val="24"/>
              </w:rPr>
              <w:t xml:space="preserve"> </w:t>
            </w:r>
            <w:r w:rsidR="00C24269">
              <w:rPr>
                <w:rFonts w:cs="Arial"/>
                <w:sz w:val="24"/>
                <w:szCs w:val="24"/>
              </w:rPr>
              <w:t xml:space="preserve">with </w:t>
            </w:r>
            <w:r w:rsidR="0017120D" w:rsidRPr="00CD3C50">
              <w:rPr>
                <w:rFonts w:cs="Arial"/>
                <w:sz w:val="24"/>
                <w:szCs w:val="24"/>
              </w:rPr>
              <w:t xml:space="preserve">subgroup meetings in between </w:t>
            </w:r>
            <w:r w:rsidR="00CD3C50" w:rsidRPr="00CD3C50">
              <w:rPr>
                <w:rFonts w:cs="Arial"/>
                <w:sz w:val="24"/>
                <w:szCs w:val="24"/>
              </w:rPr>
              <w:t xml:space="preserve">if </w:t>
            </w:r>
            <w:r w:rsidR="0017120D" w:rsidRPr="00CD3C50">
              <w:rPr>
                <w:rFonts w:cs="Arial"/>
                <w:sz w:val="24"/>
                <w:szCs w:val="24"/>
              </w:rPr>
              <w:t xml:space="preserve">required. </w:t>
            </w:r>
            <w:r w:rsidR="00F51E9B" w:rsidRPr="00CD3C50">
              <w:rPr>
                <w:rFonts w:cs="Arial"/>
                <w:sz w:val="24"/>
                <w:szCs w:val="24"/>
              </w:rPr>
              <w:t xml:space="preserve"> </w:t>
            </w:r>
          </w:p>
          <w:p w14:paraId="5729601C" w14:textId="1969D0A8" w:rsidR="00BE017F" w:rsidRDefault="00BE017F" w:rsidP="00BE017F">
            <w:pPr>
              <w:jc w:val="both"/>
              <w:rPr>
                <w:rFonts w:cs="Arial"/>
                <w:b/>
                <w:sz w:val="24"/>
                <w:szCs w:val="24"/>
              </w:rPr>
            </w:pPr>
          </w:p>
          <w:p w14:paraId="0D59D7BF" w14:textId="44A21773" w:rsidR="00CD3C50" w:rsidRPr="003730F0" w:rsidRDefault="00BE017F" w:rsidP="00167A36">
            <w:pPr>
              <w:pStyle w:val="ListParagraph"/>
              <w:numPr>
                <w:ilvl w:val="1"/>
                <w:numId w:val="2"/>
              </w:numPr>
              <w:jc w:val="both"/>
              <w:rPr>
                <w:rFonts w:cs="Arial"/>
                <w:b/>
                <w:sz w:val="24"/>
                <w:szCs w:val="24"/>
              </w:rPr>
            </w:pPr>
            <w:r w:rsidRPr="003730F0">
              <w:rPr>
                <w:rFonts w:cs="Arial"/>
                <w:sz w:val="24"/>
                <w:szCs w:val="24"/>
              </w:rPr>
              <w:t>JB</w:t>
            </w:r>
            <w:r w:rsidR="003730F0" w:rsidRPr="003730F0">
              <w:rPr>
                <w:rFonts w:cs="Arial"/>
                <w:sz w:val="24"/>
                <w:szCs w:val="24"/>
              </w:rPr>
              <w:t xml:space="preserve"> </w:t>
            </w:r>
            <w:r w:rsidR="0054636F">
              <w:rPr>
                <w:rFonts w:cs="Arial"/>
                <w:sz w:val="24"/>
                <w:szCs w:val="24"/>
              </w:rPr>
              <w:t>highlighted</w:t>
            </w:r>
            <w:r w:rsidR="003730F0" w:rsidRPr="003730F0">
              <w:rPr>
                <w:rFonts w:cs="Arial"/>
                <w:sz w:val="24"/>
                <w:szCs w:val="24"/>
              </w:rPr>
              <w:t xml:space="preserve"> the</w:t>
            </w:r>
            <w:r w:rsidR="003730F0">
              <w:rPr>
                <w:rFonts w:cs="Arial"/>
                <w:sz w:val="24"/>
                <w:szCs w:val="24"/>
              </w:rPr>
              <w:t xml:space="preserve"> impact of the</w:t>
            </w:r>
            <w:r w:rsidR="003730F0" w:rsidRPr="003730F0">
              <w:rPr>
                <w:rFonts w:cs="Arial"/>
                <w:sz w:val="24"/>
                <w:szCs w:val="24"/>
              </w:rPr>
              <w:t xml:space="preserve"> increased frequency of meetings</w:t>
            </w:r>
            <w:r w:rsidR="003730F0">
              <w:rPr>
                <w:rFonts w:cs="Arial"/>
                <w:sz w:val="24"/>
                <w:szCs w:val="24"/>
              </w:rPr>
              <w:t xml:space="preserve"> on reporting requirements and</w:t>
            </w:r>
            <w:r w:rsidRPr="003730F0">
              <w:rPr>
                <w:rFonts w:cs="Arial"/>
                <w:sz w:val="24"/>
                <w:szCs w:val="24"/>
              </w:rPr>
              <w:t xml:space="preserve"> asked the OSG to consider </w:t>
            </w:r>
            <w:r w:rsidR="003730F0">
              <w:rPr>
                <w:rFonts w:cs="Arial"/>
                <w:sz w:val="24"/>
                <w:szCs w:val="24"/>
              </w:rPr>
              <w:t>what is required</w:t>
            </w:r>
            <w:r w:rsidRPr="003730F0">
              <w:rPr>
                <w:rFonts w:cs="Arial"/>
                <w:sz w:val="24"/>
                <w:szCs w:val="24"/>
              </w:rPr>
              <w:t xml:space="preserve"> on a four-weekly </w:t>
            </w:r>
            <w:r w:rsidRPr="003730F0">
              <w:rPr>
                <w:rFonts w:cs="Arial"/>
                <w:sz w:val="24"/>
                <w:szCs w:val="24"/>
              </w:rPr>
              <w:lastRenderedPageBreak/>
              <w:t>basis. BS confirmed the need for the position statistics as th</w:t>
            </w:r>
            <w:r w:rsidR="003730F0">
              <w:rPr>
                <w:rFonts w:cs="Arial"/>
                <w:sz w:val="24"/>
                <w:szCs w:val="24"/>
              </w:rPr>
              <w:t>ey</w:t>
            </w:r>
            <w:r w:rsidRPr="003730F0">
              <w:rPr>
                <w:rFonts w:cs="Arial"/>
                <w:sz w:val="24"/>
                <w:szCs w:val="24"/>
              </w:rPr>
              <w:t xml:space="preserve"> feed into the project plan. JB agreed but queried the benefit of</w:t>
            </w:r>
            <w:r w:rsidR="0054636F">
              <w:rPr>
                <w:rFonts w:cs="Arial"/>
                <w:sz w:val="24"/>
                <w:szCs w:val="24"/>
              </w:rPr>
              <w:t xml:space="preserve"> continuing to</w:t>
            </w:r>
            <w:r w:rsidRPr="003730F0">
              <w:rPr>
                <w:rFonts w:cs="Arial"/>
                <w:sz w:val="24"/>
                <w:szCs w:val="24"/>
              </w:rPr>
              <w:t xml:space="preserve"> </w:t>
            </w:r>
            <w:r w:rsidR="003730F0" w:rsidRPr="003730F0">
              <w:rPr>
                <w:rFonts w:cs="Arial"/>
                <w:sz w:val="24"/>
                <w:szCs w:val="24"/>
              </w:rPr>
              <w:t>produc</w:t>
            </w:r>
            <w:r w:rsidR="0054636F">
              <w:rPr>
                <w:rFonts w:cs="Arial"/>
                <w:sz w:val="24"/>
                <w:szCs w:val="24"/>
              </w:rPr>
              <w:t>e the</w:t>
            </w:r>
            <w:r w:rsidR="003730F0" w:rsidRPr="003730F0">
              <w:rPr>
                <w:rFonts w:cs="Arial"/>
                <w:sz w:val="24"/>
                <w:szCs w:val="24"/>
              </w:rPr>
              <w:t xml:space="preserve"> </w:t>
            </w:r>
            <w:r w:rsidRPr="003730F0">
              <w:rPr>
                <w:rFonts w:cs="Arial"/>
                <w:sz w:val="24"/>
                <w:szCs w:val="24"/>
              </w:rPr>
              <w:t xml:space="preserve">interview method breakdown statistics </w:t>
            </w:r>
            <w:r w:rsidR="0054636F">
              <w:rPr>
                <w:rFonts w:cs="Arial"/>
                <w:sz w:val="24"/>
                <w:szCs w:val="24"/>
              </w:rPr>
              <w:t>on</w:t>
            </w:r>
            <w:r w:rsidR="00C24269">
              <w:rPr>
                <w:rFonts w:cs="Arial"/>
                <w:sz w:val="24"/>
                <w:szCs w:val="24"/>
              </w:rPr>
              <w:t xml:space="preserve"> such</w:t>
            </w:r>
            <w:r w:rsidR="0054636F">
              <w:rPr>
                <w:rFonts w:cs="Arial"/>
                <w:sz w:val="24"/>
                <w:szCs w:val="24"/>
              </w:rPr>
              <w:t xml:space="preserve"> a frequent basis.  </w:t>
            </w:r>
          </w:p>
          <w:p w14:paraId="737FFA8F" w14:textId="77777777" w:rsidR="003730F0" w:rsidRPr="0054636F" w:rsidRDefault="003730F0" w:rsidP="0054636F">
            <w:pPr>
              <w:jc w:val="both"/>
              <w:rPr>
                <w:rFonts w:cs="Arial"/>
                <w:b/>
                <w:sz w:val="24"/>
                <w:szCs w:val="24"/>
              </w:rPr>
            </w:pPr>
          </w:p>
          <w:p w14:paraId="5284F5C2" w14:textId="40E6D00D" w:rsidR="00E36A2C" w:rsidRDefault="00E36A2C" w:rsidP="00F51E9B">
            <w:pPr>
              <w:pStyle w:val="ListParagraph"/>
              <w:numPr>
                <w:ilvl w:val="1"/>
                <w:numId w:val="2"/>
              </w:numPr>
              <w:jc w:val="both"/>
              <w:rPr>
                <w:rFonts w:cs="Arial"/>
                <w:b/>
                <w:sz w:val="24"/>
                <w:szCs w:val="24"/>
              </w:rPr>
            </w:pPr>
            <w:r w:rsidRPr="00E36A2C">
              <w:rPr>
                <w:rFonts w:cs="Arial"/>
                <w:sz w:val="24"/>
                <w:szCs w:val="24"/>
              </w:rPr>
              <w:t xml:space="preserve">RD </w:t>
            </w:r>
            <w:r w:rsidR="0054636F">
              <w:rPr>
                <w:rFonts w:cs="Arial"/>
                <w:sz w:val="24"/>
                <w:szCs w:val="24"/>
              </w:rPr>
              <w:t>agreed to produce an</w:t>
            </w:r>
            <w:r w:rsidRPr="00E36A2C">
              <w:rPr>
                <w:rFonts w:cs="Arial"/>
                <w:sz w:val="24"/>
                <w:szCs w:val="24"/>
              </w:rPr>
              <w:t xml:space="preserve"> outline of the</w:t>
            </w:r>
            <w:r w:rsidR="00C24269">
              <w:rPr>
                <w:rFonts w:cs="Arial"/>
                <w:sz w:val="24"/>
                <w:szCs w:val="24"/>
              </w:rPr>
              <w:t xml:space="preserve"> OSG</w:t>
            </w:r>
            <w:r w:rsidRPr="00E36A2C">
              <w:rPr>
                <w:rFonts w:cs="Arial"/>
                <w:sz w:val="24"/>
                <w:szCs w:val="24"/>
              </w:rPr>
              <w:t xml:space="preserve"> required workload for the next meeting. JB agreed this would be helpful.</w:t>
            </w:r>
            <w:r>
              <w:rPr>
                <w:rFonts w:cs="Arial"/>
                <w:b/>
                <w:sz w:val="24"/>
                <w:szCs w:val="24"/>
              </w:rPr>
              <w:t xml:space="preserve"> </w:t>
            </w:r>
          </w:p>
          <w:p w14:paraId="51D50538" w14:textId="77777777" w:rsidR="00CD3C50" w:rsidRPr="00CD3C50" w:rsidRDefault="00CD3C50" w:rsidP="00CD3C50">
            <w:pPr>
              <w:pStyle w:val="ListParagraph"/>
              <w:rPr>
                <w:rFonts w:cs="Arial"/>
                <w:b/>
                <w:sz w:val="24"/>
                <w:szCs w:val="24"/>
              </w:rPr>
            </w:pPr>
          </w:p>
          <w:p w14:paraId="0ED20BA0" w14:textId="77777777" w:rsidR="00CD3C50" w:rsidRDefault="00CD3C50" w:rsidP="00CD3C50">
            <w:pPr>
              <w:jc w:val="both"/>
              <w:rPr>
                <w:rFonts w:cs="Arial"/>
                <w:b/>
                <w:sz w:val="24"/>
                <w:szCs w:val="24"/>
              </w:rPr>
            </w:pPr>
            <w:r>
              <w:rPr>
                <w:rFonts w:cs="Arial"/>
                <w:b/>
                <w:sz w:val="24"/>
                <w:szCs w:val="24"/>
              </w:rPr>
              <w:t>ACTION: Amended meeting schedule to be issued</w:t>
            </w:r>
            <w:r w:rsidR="0054636F">
              <w:rPr>
                <w:rFonts w:cs="Arial"/>
                <w:b/>
                <w:sz w:val="24"/>
                <w:szCs w:val="24"/>
              </w:rPr>
              <w:t xml:space="preserve"> (NA)</w:t>
            </w:r>
          </w:p>
          <w:p w14:paraId="2C69017C" w14:textId="462562EF" w:rsidR="0054636F" w:rsidRPr="00CD3C50" w:rsidRDefault="0054636F" w:rsidP="00CD3C50">
            <w:pPr>
              <w:jc w:val="both"/>
              <w:rPr>
                <w:rFonts w:cs="Arial"/>
                <w:b/>
                <w:sz w:val="24"/>
                <w:szCs w:val="24"/>
              </w:rPr>
            </w:pPr>
            <w:r>
              <w:rPr>
                <w:rFonts w:cs="Arial"/>
                <w:b/>
                <w:sz w:val="24"/>
                <w:szCs w:val="24"/>
              </w:rPr>
              <w:t xml:space="preserve">ACTION: </w:t>
            </w:r>
            <w:r w:rsidR="00C24269">
              <w:rPr>
                <w:rFonts w:cs="Arial"/>
                <w:b/>
                <w:sz w:val="24"/>
                <w:szCs w:val="24"/>
              </w:rPr>
              <w:t>OSG w</w:t>
            </w:r>
            <w:r>
              <w:rPr>
                <w:rFonts w:cs="Arial"/>
                <w:b/>
                <w:sz w:val="24"/>
                <w:szCs w:val="24"/>
              </w:rPr>
              <w:t>orkload outline</w:t>
            </w:r>
            <w:r w:rsidR="00C24269">
              <w:rPr>
                <w:rFonts w:cs="Arial"/>
                <w:b/>
                <w:sz w:val="24"/>
                <w:szCs w:val="24"/>
              </w:rPr>
              <w:t xml:space="preserve"> required</w:t>
            </w:r>
            <w:r>
              <w:rPr>
                <w:rFonts w:cs="Arial"/>
                <w:b/>
                <w:sz w:val="24"/>
                <w:szCs w:val="24"/>
              </w:rPr>
              <w:t xml:space="preserve"> for the next meeting (RD)</w:t>
            </w:r>
          </w:p>
        </w:tc>
      </w:tr>
      <w:tr w:rsidR="00DE1BAB" w14:paraId="4CD8180E" w14:textId="77777777" w:rsidTr="00291599">
        <w:tc>
          <w:tcPr>
            <w:tcW w:w="8926" w:type="dxa"/>
          </w:tcPr>
          <w:p w14:paraId="48446D93" w14:textId="0C590F7F" w:rsidR="00DE1BAB" w:rsidRDefault="00DE1BAB" w:rsidP="00DE1BAB">
            <w:pPr>
              <w:pStyle w:val="ListParagraph"/>
              <w:numPr>
                <w:ilvl w:val="0"/>
                <w:numId w:val="1"/>
              </w:numPr>
              <w:rPr>
                <w:rFonts w:cs="Arial"/>
                <w:b/>
                <w:sz w:val="24"/>
                <w:szCs w:val="24"/>
              </w:rPr>
            </w:pPr>
            <w:r>
              <w:rPr>
                <w:rFonts w:cs="Arial"/>
                <w:b/>
                <w:sz w:val="24"/>
                <w:szCs w:val="24"/>
              </w:rPr>
              <w:lastRenderedPageBreak/>
              <w:t xml:space="preserve">SJC Scheme </w:t>
            </w:r>
          </w:p>
          <w:p w14:paraId="658F484D" w14:textId="77777777" w:rsidR="00DE1BAB" w:rsidRDefault="00DE1BAB" w:rsidP="00DE1BAB">
            <w:pPr>
              <w:jc w:val="both"/>
              <w:rPr>
                <w:rFonts w:cs="Arial"/>
                <w:b/>
                <w:sz w:val="24"/>
                <w:szCs w:val="24"/>
              </w:rPr>
            </w:pPr>
          </w:p>
          <w:p w14:paraId="33369AD9" w14:textId="77777777" w:rsidR="00DE1BAB" w:rsidRPr="00205D83" w:rsidRDefault="00DE1BAB" w:rsidP="00DE1BAB">
            <w:pPr>
              <w:pStyle w:val="ListParagraph"/>
              <w:numPr>
                <w:ilvl w:val="0"/>
                <w:numId w:val="2"/>
              </w:numPr>
              <w:jc w:val="both"/>
              <w:rPr>
                <w:rFonts w:cs="Arial"/>
                <w:vanish/>
                <w:sz w:val="24"/>
                <w:szCs w:val="24"/>
              </w:rPr>
            </w:pPr>
          </w:p>
          <w:p w14:paraId="283136B3" w14:textId="773785E4" w:rsidR="00DE1BAB" w:rsidRDefault="00DE1BAB" w:rsidP="00506C67">
            <w:pPr>
              <w:pStyle w:val="ListParagraph"/>
              <w:numPr>
                <w:ilvl w:val="1"/>
                <w:numId w:val="2"/>
              </w:numPr>
              <w:ind w:left="596"/>
              <w:jc w:val="both"/>
              <w:rPr>
                <w:rFonts w:cs="Arial"/>
                <w:sz w:val="24"/>
                <w:szCs w:val="24"/>
              </w:rPr>
            </w:pPr>
            <w:r w:rsidRPr="00B659C4">
              <w:rPr>
                <w:rFonts w:cs="Arial"/>
                <w:sz w:val="24"/>
                <w:szCs w:val="24"/>
              </w:rPr>
              <w:t>The Trade Unions are seeking guidance from the technical working group on the SJC Scheme and COVID related duties.</w:t>
            </w:r>
            <w:r w:rsidR="00B81B19">
              <w:rPr>
                <w:rFonts w:cs="Arial"/>
                <w:sz w:val="24"/>
                <w:szCs w:val="24"/>
              </w:rPr>
              <w:t xml:space="preserve"> This is a standing item and update</w:t>
            </w:r>
            <w:r w:rsidRPr="00B659C4">
              <w:rPr>
                <w:rFonts w:cs="Arial"/>
                <w:sz w:val="24"/>
                <w:szCs w:val="24"/>
              </w:rPr>
              <w:t xml:space="preserve">s will be provided by </w:t>
            </w:r>
            <w:r w:rsidR="00E8572A">
              <w:rPr>
                <w:rFonts w:cs="Arial"/>
                <w:sz w:val="24"/>
                <w:szCs w:val="24"/>
              </w:rPr>
              <w:t>RD</w:t>
            </w:r>
            <w:r w:rsidRPr="00B659C4">
              <w:rPr>
                <w:rFonts w:cs="Arial"/>
                <w:sz w:val="24"/>
                <w:szCs w:val="24"/>
              </w:rPr>
              <w:t xml:space="preserve"> on this matter. </w:t>
            </w:r>
          </w:p>
          <w:p w14:paraId="090CD871" w14:textId="65604D1F" w:rsidR="00E8572A" w:rsidRPr="00B659C4" w:rsidRDefault="00E8572A" w:rsidP="00B659C4">
            <w:pPr>
              <w:jc w:val="both"/>
              <w:rPr>
                <w:rFonts w:cs="Arial"/>
                <w:sz w:val="24"/>
                <w:szCs w:val="24"/>
              </w:rPr>
            </w:pPr>
          </w:p>
        </w:tc>
      </w:tr>
      <w:tr w:rsidR="00DE1BAB" w14:paraId="38F25015" w14:textId="77777777" w:rsidTr="00291599">
        <w:tc>
          <w:tcPr>
            <w:tcW w:w="8926" w:type="dxa"/>
          </w:tcPr>
          <w:p w14:paraId="2FCF00D6" w14:textId="77777777" w:rsidR="00DE1BAB" w:rsidRDefault="00DE1BAB" w:rsidP="00DE1BAB">
            <w:pPr>
              <w:pStyle w:val="ListParagraph"/>
              <w:numPr>
                <w:ilvl w:val="0"/>
                <w:numId w:val="1"/>
              </w:numPr>
              <w:rPr>
                <w:rFonts w:cs="Arial"/>
                <w:b/>
                <w:sz w:val="24"/>
                <w:szCs w:val="24"/>
              </w:rPr>
            </w:pPr>
            <w:r>
              <w:rPr>
                <w:rFonts w:cs="Arial"/>
                <w:b/>
                <w:sz w:val="24"/>
                <w:szCs w:val="24"/>
              </w:rPr>
              <w:t>Lessons Learned</w:t>
            </w:r>
          </w:p>
          <w:p w14:paraId="542699A5" w14:textId="77777777" w:rsidR="00DE1BAB" w:rsidRDefault="00DE1BAB" w:rsidP="00DE1BAB">
            <w:pPr>
              <w:rPr>
                <w:rFonts w:cs="Arial"/>
                <w:b/>
                <w:sz w:val="24"/>
                <w:szCs w:val="24"/>
              </w:rPr>
            </w:pPr>
          </w:p>
          <w:p w14:paraId="67936E09" w14:textId="77777777" w:rsidR="00DE1BAB" w:rsidRPr="00914824" w:rsidRDefault="00DE1BAB" w:rsidP="00DE1BAB">
            <w:pPr>
              <w:pStyle w:val="ListParagraph"/>
              <w:numPr>
                <w:ilvl w:val="0"/>
                <w:numId w:val="2"/>
              </w:numPr>
              <w:jc w:val="both"/>
              <w:rPr>
                <w:rFonts w:cs="Arial"/>
                <w:vanish/>
                <w:sz w:val="24"/>
                <w:szCs w:val="24"/>
              </w:rPr>
            </w:pPr>
          </w:p>
          <w:p w14:paraId="5A70EAF3" w14:textId="3519FE07" w:rsidR="00DE1BAB" w:rsidRPr="00914824" w:rsidRDefault="00DE1BAB" w:rsidP="00DE1BAB">
            <w:pPr>
              <w:pStyle w:val="ListParagraph"/>
              <w:numPr>
                <w:ilvl w:val="1"/>
                <w:numId w:val="2"/>
              </w:numPr>
              <w:ind w:left="596"/>
              <w:jc w:val="both"/>
              <w:rPr>
                <w:rFonts w:cs="Arial"/>
                <w:b/>
                <w:sz w:val="24"/>
                <w:szCs w:val="24"/>
              </w:rPr>
            </w:pPr>
            <w:r w:rsidRPr="00914824">
              <w:rPr>
                <w:rFonts w:cs="Arial"/>
                <w:sz w:val="24"/>
                <w:szCs w:val="24"/>
              </w:rPr>
              <w:t xml:space="preserve">Lessons </w:t>
            </w:r>
            <w:r>
              <w:rPr>
                <w:rFonts w:cs="Arial"/>
                <w:sz w:val="24"/>
                <w:szCs w:val="24"/>
              </w:rPr>
              <w:t>l</w:t>
            </w:r>
            <w:r w:rsidRPr="00914824">
              <w:rPr>
                <w:rFonts w:cs="Arial"/>
                <w:sz w:val="24"/>
                <w:szCs w:val="24"/>
              </w:rPr>
              <w:t xml:space="preserve">earned </w:t>
            </w:r>
            <w:r>
              <w:rPr>
                <w:rFonts w:cs="Arial"/>
                <w:sz w:val="24"/>
                <w:szCs w:val="24"/>
              </w:rPr>
              <w:t>is</w:t>
            </w:r>
            <w:r w:rsidRPr="00914824">
              <w:rPr>
                <w:rFonts w:cs="Arial"/>
                <w:sz w:val="24"/>
                <w:szCs w:val="24"/>
              </w:rPr>
              <w:t xml:space="preserve"> a standing item on the note until an update is received. </w:t>
            </w:r>
          </w:p>
        </w:tc>
      </w:tr>
      <w:tr w:rsidR="00DE1BAB" w14:paraId="7CB053BF" w14:textId="77777777" w:rsidTr="00291599">
        <w:tc>
          <w:tcPr>
            <w:tcW w:w="8926" w:type="dxa"/>
          </w:tcPr>
          <w:p w14:paraId="3FDAB327" w14:textId="23514E2E" w:rsidR="00DE1BAB" w:rsidRDefault="00DE1BAB" w:rsidP="00C24269">
            <w:pPr>
              <w:pStyle w:val="ListParagraph"/>
              <w:numPr>
                <w:ilvl w:val="0"/>
                <w:numId w:val="1"/>
              </w:numPr>
              <w:rPr>
                <w:rFonts w:cs="Arial"/>
                <w:b/>
                <w:sz w:val="24"/>
                <w:szCs w:val="24"/>
              </w:rPr>
            </w:pPr>
            <w:r>
              <w:rPr>
                <w:rFonts w:cs="Arial"/>
                <w:b/>
                <w:sz w:val="24"/>
                <w:szCs w:val="24"/>
              </w:rPr>
              <w:t xml:space="preserve">AOCB: </w:t>
            </w:r>
            <w:r w:rsidR="00F51E9B">
              <w:rPr>
                <w:rFonts w:cs="Arial"/>
                <w:b/>
                <w:sz w:val="24"/>
                <w:szCs w:val="24"/>
              </w:rPr>
              <w:t>9 August 2022 Note</w:t>
            </w:r>
            <w:r w:rsidR="00C24269">
              <w:rPr>
                <w:rFonts w:cs="Arial"/>
                <w:b/>
                <w:sz w:val="24"/>
                <w:szCs w:val="24"/>
              </w:rPr>
              <w:t>s</w:t>
            </w:r>
          </w:p>
          <w:p w14:paraId="547C7D5F" w14:textId="77777777" w:rsidR="007202D2" w:rsidRDefault="007202D2" w:rsidP="007202D2">
            <w:pPr>
              <w:jc w:val="both"/>
              <w:rPr>
                <w:rFonts w:cs="Arial"/>
                <w:b/>
                <w:sz w:val="24"/>
                <w:szCs w:val="24"/>
              </w:rPr>
            </w:pPr>
          </w:p>
          <w:p w14:paraId="46E292AF" w14:textId="77777777" w:rsidR="007202D2" w:rsidRDefault="007202D2" w:rsidP="007202D2">
            <w:pPr>
              <w:pStyle w:val="ListParagraph"/>
              <w:numPr>
                <w:ilvl w:val="0"/>
                <w:numId w:val="44"/>
              </w:numPr>
              <w:spacing w:line="256" w:lineRule="auto"/>
              <w:jc w:val="both"/>
              <w:rPr>
                <w:rFonts w:cs="Arial"/>
                <w:vanish/>
                <w:sz w:val="24"/>
                <w:szCs w:val="24"/>
              </w:rPr>
            </w:pPr>
          </w:p>
          <w:p w14:paraId="7D220FFF" w14:textId="77777777" w:rsidR="007202D2" w:rsidRDefault="007202D2" w:rsidP="007202D2">
            <w:pPr>
              <w:pStyle w:val="ListParagraph"/>
              <w:numPr>
                <w:ilvl w:val="0"/>
                <w:numId w:val="45"/>
              </w:numPr>
              <w:spacing w:line="256" w:lineRule="auto"/>
              <w:jc w:val="both"/>
              <w:rPr>
                <w:rFonts w:cs="Arial"/>
                <w:vanish/>
                <w:sz w:val="24"/>
                <w:szCs w:val="24"/>
              </w:rPr>
            </w:pPr>
          </w:p>
          <w:p w14:paraId="1ECCB455" w14:textId="77777777" w:rsidR="007202D2" w:rsidRDefault="007202D2" w:rsidP="007202D2">
            <w:pPr>
              <w:pStyle w:val="ListParagraph"/>
              <w:numPr>
                <w:ilvl w:val="0"/>
                <w:numId w:val="45"/>
              </w:numPr>
              <w:spacing w:line="256" w:lineRule="auto"/>
              <w:jc w:val="both"/>
              <w:rPr>
                <w:rFonts w:cs="Arial"/>
                <w:vanish/>
                <w:sz w:val="24"/>
                <w:szCs w:val="24"/>
              </w:rPr>
            </w:pPr>
          </w:p>
          <w:p w14:paraId="2E2EDCBF" w14:textId="77777777" w:rsidR="007202D2" w:rsidRDefault="007202D2" w:rsidP="007202D2">
            <w:pPr>
              <w:pStyle w:val="ListParagraph"/>
              <w:numPr>
                <w:ilvl w:val="0"/>
                <w:numId w:val="45"/>
              </w:numPr>
              <w:spacing w:line="256" w:lineRule="auto"/>
              <w:jc w:val="both"/>
              <w:rPr>
                <w:rFonts w:cs="Arial"/>
                <w:vanish/>
                <w:sz w:val="24"/>
                <w:szCs w:val="24"/>
              </w:rPr>
            </w:pPr>
          </w:p>
          <w:p w14:paraId="56D76A3F" w14:textId="77777777" w:rsidR="007202D2" w:rsidRDefault="007202D2" w:rsidP="007202D2">
            <w:pPr>
              <w:pStyle w:val="ListParagraph"/>
              <w:numPr>
                <w:ilvl w:val="0"/>
                <w:numId w:val="45"/>
              </w:numPr>
              <w:spacing w:line="256" w:lineRule="auto"/>
              <w:jc w:val="both"/>
              <w:rPr>
                <w:rFonts w:cs="Arial"/>
                <w:vanish/>
                <w:sz w:val="24"/>
                <w:szCs w:val="24"/>
              </w:rPr>
            </w:pPr>
          </w:p>
          <w:p w14:paraId="2113CB14" w14:textId="77777777" w:rsidR="007202D2" w:rsidRDefault="007202D2" w:rsidP="007202D2">
            <w:pPr>
              <w:pStyle w:val="ListParagraph"/>
              <w:numPr>
                <w:ilvl w:val="0"/>
                <w:numId w:val="45"/>
              </w:numPr>
              <w:spacing w:line="256" w:lineRule="auto"/>
              <w:jc w:val="both"/>
              <w:rPr>
                <w:rFonts w:cs="Arial"/>
                <w:vanish/>
                <w:sz w:val="24"/>
                <w:szCs w:val="24"/>
              </w:rPr>
            </w:pPr>
          </w:p>
          <w:p w14:paraId="0F629017" w14:textId="77777777" w:rsidR="007202D2" w:rsidRDefault="007202D2" w:rsidP="007202D2">
            <w:pPr>
              <w:pStyle w:val="ListParagraph"/>
              <w:numPr>
                <w:ilvl w:val="0"/>
                <w:numId w:val="45"/>
              </w:numPr>
              <w:spacing w:line="256" w:lineRule="auto"/>
              <w:jc w:val="both"/>
              <w:rPr>
                <w:rFonts w:cs="Arial"/>
                <w:vanish/>
                <w:sz w:val="24"/>
                <w:szCs w:val="24"/>
              </w:rPr>
            </w:pPr>
          </w:p>
          <w:p w14:paraId="533E8351" w14:textId="77777777" w:rsidR="007202D2" w:rsidRDefault="007202D2" w:rsidP="007202D2">
            <w:pPr>
              <w:pStyle w:val="ListParagraph"/>
              <w:numPr>
                <w:ilvl w:val="0"/>
                <w:numId w:val="45"/>
              </w:numPr>
              <w:spacing w:line="256" w:lineRule="auto"/>
              <w:jc w:val="both"/>
              <w:rPr>
                <w:rFonts w:cs="Arial"/>
                <w:vanish/>
                <w:sz w:val="24"/>
                <w:szCs w:val="24"/>
              </w:rPr>
            </w:pPr>
          </w:p>
          <w:p w14:paraId="2040A6C6" w14:textId="77777777" w:rsidR="007202D2" w:rsidRDefault="007202D2" w:rsidP="007202D2">
            <w:pPr>
              <w:pStyle w:val="ListParagraph"/>
              <w:numPr>
                <w:ilvl w:val="0"/>
                <w:numId w:val="45"/>
              </w:numPr>
              <w:spacing w:line="256" w:lineRule="auto"/>
              <w:jc w:val="both"/>
              <w:rPr>
                <w:rFonts w:cs="Arial"/>
                <w:vanish/>
                <w:sz w:val="24"/>
                <w:szCs w:val="24"/>
              </w:rPr>
            </w:pPr>
          </w:p>
          <w:p w14:paraId="6B4AC66E" w14:textId="77777777" w:rsidR="007202D2" w:rsidRDefault="007202D2" w:rsidP="007202D2">
            <w:pPr>
              <w:pStyle w:val="ListParagraph"/>
              <w:numPr>
                <w:ilvl w:val="0"/>
                <w:numId w:val="45"/>
              </w:numPr>
              <w:spacing w:line="256" w:lineRule="auto"/>
              <w:jc w:val="both"/>
              <w:rPr>
                <w:rFonts w:cs="Arial"/>
                <w:vanish/>
                <w:sz w:val="24"/>
                <w:szCs w:val="24"/>
              </w:rPr>
            </w:pPr>
          </w:p>
          <w:p w14:paraId="2EAB5542" w14:textId="77777777" w:rsidR="007202D2" w:rsidRDefault="007202D2" w:rsidP="007202D2">
            <w:pPr>
              <w:pStyle w:val="ListParagraph"/>
              <w:numPr>
                <w:ilvl w:val="0"/>
                <w:numId w:val="45"/>
              </w:numPr>
              <w:jc w:val="both"/>
              <w:rPr>
                <w:rFonts w:cs="Arial"/>
                <w:sz w:val="24"/>
                <w:szCs w:val="24"/>
              </w:rPr>
            </w:pPr>
            <w:r>
              <w:rPr>
                <w:rFonts w:cs="Arial"/>
                <w:sz w:val="24"/>
                <w:szCs w:val="24"/>
              </w:rPr>
              <w:t>1 SB Advised that following a thorough internal GMB conversation, the comments made by the GMB representative at the OSG on the 9</w:t>
            </w:r>
            <w:r>
              <w:rPr>
                <w:rFonts w:cs="Arial"/>
                <w:sz w:val="24"/>
                <w:szCs w:val="24"/>
                <w:vertAlign w:val="superscript"/>
              </w:rPr>
              <w:t>th</w:t>
            </w:r>
            <w:r>
              <w:rPr>
                <w:rFonts w:cs="Arial"/>
                <w:sz w:val="24"/>
                <w:szCs w:val="24"/>
              </w:rPr>
              <w:t xml:space="preserve"> of August regarding the implementation of the JOD process were found to be inaccurate and that neither the Local GMB Steward or anyone else at the Bridgeton Hub stated that the process was “a shambles”.</w:t>
            </w:r>
          </w:p>
          <w:p w14:paraId="7DF2A302" w14:textId="77777777" w:rsidR="007202D2" w:rsidRDefault="007202D2" w:rsidP="007202D2">
            <w:pPr>
              <w:jc w:val="both"/>
              <w:rPr>
                <w:rFonts w:cs="Arial"/>
                <w:sz w:val="24"/>
                <w:szCs w:val="24"/>
              </w:rPr>
            </w:pPr>
          </w:p>
          <w:p w14:paraId="6064825B" w14:textId="3D03181B" w:rsidR="007202D2" w:rsidRDefault="007202D2" w:rsidP="007202D2">
            <w:pPr>
              <w:ind w:left="720"/>
              <w:jc w:val="both"/>
              <w:rPr>
                <w:rFonts w:cs="Arial"/>
                <w:sz w:val="24"/>
                <w:szCs w:val="24"/>
              </w:rPr>
            </w:pPr>
            <w:r>
              <w:rPr>
                <w:rFonts w:cs="Arial"/>
                <w:sz w:val="24"/>
                <w:szCs w:val="24"/>
              </w:rPr>
              <w:t>It was noted that the previously approved note of the m</w:t>
            </w:r>
            <w:r w:rsidR="00325373">
              <w:rPr>
                <w:rFonts w:cs="Arial"/>
                <w:sz w:val="24"/>
                <w:szCs w:val="24"/>
              </w:rPr>
              <w:t>eeting</w:t>
            </w:r>
            <w:r>
              <w:rPr>
                <w:rFonts w:cs="Arial"/>
                <w:sz w:val="24"/>
                <w:szCs w:val="24"/>
              </w:rPr>
              <w:t xml:space="preserve"> could not be retrospectively amended but that the note of today’s meeting would note the revised position.</w:t>
            </w:r>
          </w:p>
          <w:p w14:paraId="0AE9B601" w14:textId="77777777" w:rsidR="007202D2" w:rsidRDefault="007202D2" w:rsidP="007202D2">
            <w:pPr>
              <w:jc w:val="both"/>
              <w:rPr>
                <w:rFonts w:cs="Arial"/>
                <w:sz w:val="24"/>
                <w:szCs w:val="24"/>
              </w:rPr>
            </w:pPr>
          </w:p>
          <w:p w14:paraId="42F7E8C7" w14:textId="77777777" w:rsidR="007202D2" w:rsidRDefault="007202D2" w:rsidP="007202D2">
            <w:pPr>
              <w:ind w:left="720"/>
              <w:jc w:val="both"/>
              <w:rPr>
                <w:rFonts w:cs="Arial"/>
                <w:sz w:val="24"/>
                <w:szCs w:val="24"/>
              </w:rPr>
            </w:pPr>
            <w:r>
              <w:rPr>
                <w:rFonts w:cs="Arial"/>
                <w:sz w:val="24"/>
                <w:szCs w:val="24"/>
              </w:rPr>
              <w:t>JB advised that further discussion on this topic should be raised with JB or AT.</w:t>
            </w:r>
          </w:p>
          <w:p w14:paraId="38A06786" w14:textId="5487919A" w:rsidR="00AB603B" w:rsidRPr="00064D1B" w:rsidRDefault="00AB603B" w:rsidP="00AB603B">
            <w:pPr>
              <w:pStyle w:val="ListParagraph"/>
              <w:ind w:left="596"/>
              <w:jc w:val="both"/>
              <w:rPr>
                <w:rFonts w:cs="Arial"/>
                <w:b/>
                <w:sz w:val="24"/>
                <w:szCs w:val="24"/>
              </w:rPr>
            </w:pPr>
          </w:p>
        </w:tc>
      </w:tr>
      <w:tr w:rsidR="00DE1BAB" w14:paraId="63B40B09" w14:textId="77777777" w:rsidTr="00291599">
        <w:tc>
          <w:tcPr>
            <w:tcW w:w="8926" w:type="dxa"/>
          </w:tcPr>
          <w:p w14:paraId="2670B958" w14:textId="7B875DD0" w:rsidR="00DE1BAB" w:rsidRDefault="00DE1BAB" w:rsidP="00C24269">
            <w:pPr>
              <w:pStyle w:val="ListParagraph"/>
              <w:numPr>
                <w:ilvl w:val="0"/>
                <w:numId w:val="1"/>
              </w:numPr>
              <w:rPr>
                <w:rFonts w:cs="Arial"/>
                <w:b/>
                <w:sz w:val="24"/>
                <w:szCs w:val="24"/>
              </w:rPr>
            </w:pPr>
            <w:r>
              <w:rPr>
                <w:rFonts w:cs="Arial"/>
                <w:b/>
                <w:sz w:val="24"/>
                <w:szCs w:val="24"/>
              </w:rPr>
              <w:t>AOCB: Contract Extensions</w:t>
            </w:r>
          </w:p>
          <w:p w14:paraId="17CB944C" w14:textId="26D2ED24" w:rsidR="00DE1BAB" w:rsidRDefault="00DE1BAB" w:rsidP="00DE1BAB">
            <w:pPr>
              <w:jc w:val="both"/>
              <w:rPr>
                <w:rFonts w:cs="Arial"/>
                <w:b/>
                <w:sz w:val="24"/>
                <w:szCs w:val="24"/>
              </w:rPr>
            </w:pPr>
          </w:p>
          <w:p w14:paraId="252DE8C3" w14:textId="77777777" w:rsidR="00DE1BAB" w:rsidRPr="00AA0299" w:rsidRDefault="00DE1BAB" w:rsidP="00DE1BAB">
            <w:pPr>
              <w:pStyle w:val="ListParagraph"/>
              <w:numPr>
                <w:ilvl w:val="0"/>
                <w:numId w:val="2"/>
              </w:numPr>
              <w:jc w:val="both"/>
              <w:rPr>
                <w:rFonts w:cs="Arial"/>
                <w:vanish/>
                <w:sz w:val="24"/>
                <w:szCs w:val="24"/>
              </w:rPr>
            </w:pPr>
          </w:p>
          <w:p w14:paraId="6202BD6E" w14:textId="7FA36F0F" w:rsidR="00DE1BAB" w:rsidRDefault="009561E1" w:rsidP="00DE1BAB">
            <w:pPr>
              <w:pStyle w:val="ListParagraph"/>
              <w:numPr>
                <w:ilvl w:val="1"/>
                <w:numId w:val="2"/>
              </w:numPr>
              <w:ind w:left="596"/>
              <w:jc w:val="both"/>
              <w:rPr>
                <w:rFonts w:cs="Arial"/>
                <w:sz w:val="24"/>
                <w:szCs w:val="24"/>
              </w:rPr>
            </w:pPr>
            <w:r>
              <w:rPr>
                <w:rFonts w:cs="Arial"/>
                <w:sz w:val="24"/>
                <w:szCs w:val="24"/>
              </w:rPr>
              <w:t xml:space="preserve">The Trade Unions asked for an update on contact extensions. LN confirmed </w:t>
            </w:r>
            <w:r w:rsidR="00C4231C">
              <w:rPr>
                <w:rFonts w:cs="Arial"/>
                <w:sz w:val="24"/>
                <w:szCs w:val="24"/>
              </w:rPr>
              <w:t>this</w:t>
            </w:r>
            <w:r w:rsidR="001E03B6">
              <w:rPr>
                <w:rFonts w:cs="Arial"/>
                <w:sz w:val="24"/>
                <w:szCs w:val="24"/>
              </w:rPr>
              <w:t xml:space="preserve"> will be</w:t>
            </w:r>
            <w:r w:rsidR="00C4231C">
              <w:rPr>
                <w:rFonts w:cs="Arial"/>
                <w:sz w:val="24"/>
                <w:szCs w:val="24"/>
              </w:rPr>
              <w:t xml:space="preserve"> </w:t>
            </w:r>
            <w:r w:rsidR="00E43F45">
              <w:rPr>
                <w:rFonts w:cs="Arial"/>
                <w:sz w:val="24"/>
                <w:szCs w:val="24"/>
              </w:rPr>
              <w:t>prioritised</w:t>
            </w:r>
            <w:r w:rsidR="00C4231C">
              <w:rPr>
                <w:rFonts w:cs="Arial"/>
                <w:sz w:val="24"/>
                <w:szCs w:val="24"/>
              </w:rPr>
              <w:t xml:space="preserve"> early January 2023. </w:t>
            </w:r>
          </w:p>
          <w:p w14:paraId="43670EEA" w14:textId="6BC79096" w:rsidR="00DE1BAB" w:rsidRPr="00064AC1" w:rsidRDefault="00DE1BAB" w:rsidP="00DE1BAB">
            <w:pPr>
              <w:pStyle w:val="ListParagraph"/>
              <w:ind w:left="596"/>
              <w:jc w:val="both"/>
              <w:rPr>
                <w:rFonts w:cs="Arial"/>
                <w:sz w:val="24"/>
                <w:szCs w:val="24"/>
              </w:rPr>
            </w:pPr>
          </w:p>
        </w:tc>
      </w:tr>
      <w:tr w:rsidR="00DE1BAB" w14:paraId="42054695" w14:textId="77777777" w:rsidTr="00291599">
        <w:tc>
          <w:tcPr>
            <w:tcW w:w="8926" w:type="dxa"/>
          </w:tcPr>
          <w:p w14:paraId="7A30ED1C" w14:textId="0ECEC8E2" w:rsidR="00DE1BAB" w:rsidRPr="0031750A" w:rsidRDefault="00DE1BAB" w:rsidP="00DE1BAB">
            <w:pPr>
              <w:rPr>
                <w:rFonts w:cs="Arial"/>
                <w:b/>
                <w:sz w:val="24"/>
                <w:szCs w:val="24"/>
              </w:rPr>
            </w:pPr>
            <w:r w:rsidRPr="0031750A">
              <w:rPr>
                <w:rFonts w:cs="Arial"/>
                <w:b/>
                <w:sz w:val="24"/>
                <w:szCs w:val="24"/>
              </w:rPr>
              <w:t xml:space="preserve">Date of next scheduled meeting: </w:t>
            </w:r>
            <w:r w:rsidR="00E8572A" w:rsidRPr="00E8572A">
              <w:rPr>
                <w:rFonts w:cs="Arial"/>
                <w:bCs/>
                <w:sz w:val="24"/>
                <w:szCs w:val="24"/>
              </w:rPr>
              <w:t xml:space="preserve">Tuesday </w:t>
            </w:r>
            <w:r w:rsidR="00C4231C">
              <w:rPr>
                <w:rFonts w:cs="Arial"/>
                <w:bCs/>
                <w:sz w:val="24"/>
                <w:szCs w:val="24"/>
              </w:rPr>
              <w:t>13</w:t>
            </w:r>
            <w:r w:rsidR="00C4231C" w:rsidRPr="00C4231C">
              <w:rPr>
                <w:rFonts w:cs="Arial"/>
                <w:bCs/>
                <w:sz w:val="24"/>
                <w:szCs w:val="24"/>
                <w:vertAlign w:val="superscript"/>
              </w:rPr>
              <w:t>th</w:t>
            </w:r>
            <w:r w:rsidR="00C4231C">
              <w:rPr>
                <w:rFonts w:cs="Arial"/>
                <w:bCs/>
                <w:sz w:val="24"/>
                <w:szCs w:val="24"/>
              </w:rPr>
              <w:t xml:space="preserve"> December 2022</w:t>
            </w:r>
          </w:p>
        </w:tc>
      </w:tr>
    </w:tbl>
    <w:p w14:paraId="5F7192D3" w14:textId="77777777" w:rsidR="002A3EE7" w:rsidRPr="006344E3" w:rsidRDefault="002A3EE7" w:rsidP="00CC27B6">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57E4" w14:textId="77777777" w:rsidR="00D8715F" w:rsidRDefault="00D8715F">
      <w:pPr>
        <w:spacing w:after="0" w:line="240" w:lineRule="auto"/>
      </w:pPr>
    </w:p>
  </w:endnote>
  <w:endnote w:type="continuationSeparator" w:id="0">
    <w:p w14:paraId="1279DB98" w14:textId="77777777" w:rsidR="00D8715F" w:rsidRDefault="00D87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2313CD01" w:rsidR="00FD68EC" w:rsidRPr="0052108C" w:rsidRDefault="00177AA2" w:rsidP="00177AA2">
    <w:pPr>
      <w:pStyle w:val="Footer"/>
      <w:jc w:val="center"/>
    </w:pPr>
    <w:fldSimple w:instr=" DOCPROPERTY bjFooterEvenPageDocProperty \* MERGEFORMAT " w:fldLock="1">
      <w:r w:rsidRPr="00177AA2">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71D16F81" w:rsidR="00F27964" w:rsidRDefault="00177AA2" w:rsidP="00177AA2">
    <w:pPr>
      <w:pStyle w:val="Footer"/>
      <w:jc w:val="center"/>
    </w:pPr>
    <w:fldSimple w:instr=" DOCPROPERTY bjFooterBothDocProperty \* MERGEFORMAT " w:fldLock="1">
      <w:r w:rsidRPr="00177AA2">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4C21C7">
          <w:rPr>
            <w:noProof/>
          </w:rPr>
          <w:t>2</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38A4" w14:textId="77777777" w:rsidR="00177AA2" w:rsidRDefault="00177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04A5" w14:textId="77777777" w:rsidR="00D8715F" w:rsidRDefault="00D8715F">
      <w:pPr>
        <w:spacing w:after="0" w:line="240" w:lineRule="auto"/>
      </w:pPr>
    </w:p>
  </w:footnote>
  <w:footnote w:type="continuationSeparator" w:id="0">
    <w:p w14:paraId="4D8584EB" w14:textId="77777777" w:rsidR="00D8715F" w:rsidRDefault="00D871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26540C7D" w:rsidR="00FD68EC" w:rsidRPr="0052108C" w:rsidRDefault="00177AA2" w:rsidP="00177AA2">
    <w:pPr>
      <w:pStyle w:val="Header"/>
      <w:jc w:val="center"/>
    </w:pPr>
    <w:fldSimple w:instr=" DOCPROPERTY bjHeaderEvenPageDocProperty \* MERGEFORMAT " w:fldLock="1">
      <w:r w:rsidRPr="00177AA2">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2CEFE4E4" w:rsidR="00F27964" w:rsidRDefault="00177AA2" w:rsidP="00177AA2">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B9F8" w14:textId="77777777" w:rsidR="00177AA2" w:rsidRDefault="00177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BB7"/>
    <w:multiLevelType w:val="hybridMultilevel"/>
    <w:tmpl w:val="AAD8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1A54"/>
    <w:multiLevelType w:val="hybridMultilevel"/>
    <w:tmpl w:val="61544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4677E"/>
    <w:multiLevelType w:val="hybridMultilevel"/>
    <w:tmpl w:val="C1D22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96A63"/>
    <w:multiLevelType w:val="hybridMultilevel"/>
    <w:tmpl w:val="6F2A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F2978"/>
    <w:multiLevelType w:val="hybridMultilevel"/>
    <w:tmpl w:val="C9681DC0"/>
    <w:lvl w:ilvl="0" w:tplc="AA6806B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5754D"/>
    <w:multiLevelType w:val="hybridMultilevel"/>
    <w:tmpl w:val="D3DA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0513C"/>
    <w:multiLevelType w:val="hybridMultilevel"/>
    <w:tmpl w:val="F3F2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7623C"/>
    <w:multiLevelType w:val="hybridMultilevel"/>
    <w:tmpl w:val="C74A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15B1A"/>
    <w:multiLevelType w:val="hybridMultilevel"/>
    <w:tmpl w:val="7D2A2EF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9" w15:restartNumberingAfterBreak="0">
    <w:nsid w:val="26067E1E"/>
    <w:multiLevelType w:val="multilevel"/>
    <w:tmpl w:val="E410D6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63331A"/>
    <w:multiLevelType w:val="hybridMultilevel"/>
    <w:tmpl w:val="67C0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147CB"/>
    <w:multiLevelType w:val="hybridMultilevel"/>
    <w:tmpl w:val="F1E0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C5E2D"/>
    <w:multiLevelType w:val="hybridMultilevel"/>
    <w:tmpl w:val="3B64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B5138"/>
    <w:multiLevelType w:val="hybridMultilevel"/>
    <w:tmpl w:val="0008847C"/>
    <w:lvl w:ilvl="0" w:tplc="B4C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1C7D53"/>
    <w:multiLevelType w:val="hybridMultilevel"/>
    <w:tmpl w:val="0F440B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206560"/>
    <w:multiLevelType w:val="hybridMultilevel"/>
    <w:tmpl w:val="BE9A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74822"/>
    <w:multiLevelType w:val="multilevel"/>
    <w:tmpl w:val="E2E0604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611D14"/>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7E6E8B"/>
    <w:multiLevelType w:val="hybridMultilevel"/>
    <w:tmpl w:val="25E2CE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6046890"/>
    <w:multiLevelType w:val="hybridMultilevel"/>
    <w:tmpl w:val="FAA4E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963393D"/>
    <w:multiLevelType w:val="hybridMultilevel"/>
    <w:tmpl w:val="35125A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1C085C"/>
    <w:multiLevelType w:val="multilevel"/>
    <w:tmpl w:val="E410D6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9C3126"/>
    <w:multiLevelType w:val="hybridMultilevel"/>
    <w:tmpl w:val="78723AFA"/>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23" w15:restartNumberingAfterBreak="0">
    <w:nsid w:val="3C9B42F8"/>
    <w:multiLevelType w:val="hybridMultilevel"/>
    <w:tmpl w:val="AD284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03C732D"/>
    <w:multiLevelType w:val="hybridMultilevel"/>
    <w:tmpl w:val="8BE4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07ADD"/>
    <w:multiLevelType w:val="hybridMultilevel"/>
    <w:tmpl w:val="6F3A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A9374C"/>
    <w:multiLevelType w:val="hybridMultilevel"/>
    <w:tmpl w:val="3292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B0630C"/>
    <w:multiLevelType w:val="hybridMultilevel"/>
    <w:tmpl w:val="3E70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574C0"/>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074D2E"/>
    <w:multiLevelType w:val="hybridMultilevel"/>
    <w:tmpl w:val="4D48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066781"/>
    <w:multiLevelType w:val="hybridMultilevel"/>
    <w:tmpl w:val="F666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E2725B"/>
    <w:multiLevelType w:val="hybridMultilevel"/>
    <w:tmpl w:val="C9C2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CC246A"/>
    <w:multiLevelType w:val="hybridMultilevel"/>
    <w:tmpl w:val="0008847C"/>
    <w:lvl w:ilvl="0" w:tplc="B4C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8E4B9E"/>
    <w:multiLevelType w:val="hybridMultilevel"/>
    <w:tmpl w:val="6A7EDA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5A0B91"/>
    <w:multiLevelType w:val="hybridMultilevel"/>
    <w:tmpl w:val="EEC81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C053EF"/>
    <w:multiLevelType w:val="hybridMultilevel"/>
    <w:tmpl w:val="A1D2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283A8B"/>
    <w:multiLevelType w:val="hybridMultilevel"/>
    <w:tmpl w:val="541ADB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6B4292D"/>
    <w:multiLevelType w:val="hybridMultilevel"/>
    <w:tmpl w:val="AFA0F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98F33EE"/>
    <w:multiLevelType w:val="hybridMultilevel"/>
    <w:tmpl w:val="D93A0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FB23624"/>
    <w:multiLevelType w:val="hybridMultilevel"/>
    <w:tmpl w:val="A288C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0"/>
  </w:num>
  <w:num w:numId="3">
    <w:abstractNumId w:val="25"/>
  </w:num>
  <w:num w:numId="4">
    <w:abstractNumId w:val="32"/>
  </w:num>
  <w:num w:numId="5">
    <w:abstractNumId w:val="0"/>
  </w:num>
  <w:num w:numId="6">
    <w:abstractNumId w:val="7"/>
  </w:num>
  <w:num w:numId="7">
    <w:abstractNumId w:val="11"/>
  </w:num>
  <w:num w:numId="8">
    <w:abstractNumId w:val="1"/>
  </w:num>
  <w:num w:numId="9">
    <w:abstractNumId w:val="24"/>
  </w:num>
  <w:num w:numId="10">
    <w:abstractNumId w:val="8"/>
  </w:num>
  <w:num w:numId="11">
    <w:abstractNumId w:val="22"/>
  </w:num>
  <w:num w:numId="12">
    <w:abstractNumId w:val="10"/>
  </w:num>
  <w:num w:numId="13">
    <w:abstractNumId w:val="35"/>
  </w:num>
  <w:num w:numId="14">
    <w:abstractNumId w:val="6"/>
  </w:num>
  <w:num w:numId="15">
    <w:abstractNumId w:val="16"/>
  </w:num>
  <w:num w:numId="16">
    <w:abstractNumId w:val="2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31"/>
  </w:num>
  <w:num w:numId="21">
    <w:abstractNumId w:val="38"/>
  </w:num>
  <w:num w:numId="22">
    <w:abstractNumId w:val="19"/>
  </w:num>
  <w:num w:numId="23">
    <w:abstractNumId w:val="5"/>
  </w:num>
  <w:num w:numId="24">
    <w:abstractNumId w:val="27"/>
  </w:num>
  <w:num w:numId="25">
    <w:abstractNumId w:val="12"/>
  </w:num>
  <w:num w:numId="26">
    <w:abstractNumId w:val="2"/>
  </w:num>
  <w:num w:numId="27">
    <w:abstractNumId w:val="17"/>
  </w:num>
  <w:num w:numId="28">
    <w:abstractNumId w:val="14"/>
  </w:num>
  <w:num w:numId="29">
    <w:abstractNumId w:val="36"/>
  </w:num>
  <w:num w:numId="30">
    <w:abstractNumId w:val="23"/>
  </w:num>
  <w:num w:numId="31">
    <w:abstractNumId w:val="4"/>
  </w:num>
  <w:num w:numId="32">
    <w:abstractNumId w:val="39"/>
  </w:num>
  <w:num w:numId="33">
    <w:abstractNumId w:val="20"/>
  </w:num>
  <w:num w:numId="34">
    <w:abstractNumId w:val="34"/>
  </w:num>
  <w:num w:numId="35">
    <w:abstractNumId w:val="21"/>
  </w:num>
  <w:num w:numId="36">
    <w:abstractNumId w:val="9"/>
  </w:num>
  <w:num w:numId="37">
    <w:abstractNumId w:val="37"/>
  </w:num>
  <w:num w:numId="38">
    <w:abstractNumId w:val="40"/>
  </w:num>
  <w:num w:numId="39">
    <w:abstractNumId w:val="28"/>
  </w:num>
  <w:num w:numId="40">
    <w:abstractNumId w:val="18"/>
  </w:num>
  <w:num w:numId="41">
    <w:abstractNumId w:val="3"/>
  </w:num>
  <w:num w:numId="42">
    <w:abstractNumId w:val="33"/>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2A2A"/>
    <w:rsid w:val="00002C32"/>
    <w:rsid w:val="00002E11"/>
    <w:rsid w:val="00002F56"/>
    <w:rsid w:val="000030BD"/>
    <w:rsid w:val="00004AF2"/>
    <w:rsid w:val="00005E53"/>
    <w:rsid w:val="00007A09"/>
    <w:rsid w:val="000111D5"/>
    <w:rsid w:val="000118FA"/>
    <w:rsid w:val="00013B94"/>
    <w:rsid w:val="0001680D"/>
    <w:rsid w:val="00016B34"/>
    <w:rsid w:val="00017629"/>
    <w:rsid w:val="00017ACB"/>
    <w:rsid w:val="000207DE"/>
    <w:rsid w:val="000211C5"/>
    <w:rsid w:val="00021F95"/>
    <w:rsid w:val="00022429"/>
    <w:rsid w:val="00025909"/>
    <w:rsid w:val="00025DB4"/>
    <w:rsid w:val="00025E1D"/>
    <w:rsid w:val="00025ED1"/>
    <w:rsid w:val="00026797"/>
    <w:rsid w:val="00026953"/>
    <w:rsid w:val="00026D5F"/>
    <w:rsid w:val="00027240"/>
    <w:rsid w:val="00030158"/>
    <w:rsid w:val="00031240"/>
    <w:rsid w:val="00031BAD"/>
    <w:rsid w:val="000326AC"/>
    <w:rsid w:val="00035814"/>
    <w:rsid w:val="0003701F"/>
    <w:rsid w:val="000372C7"/>
    <w:rsid w:val="00037EDF"/>
    <w:rsid w:val="0004134D"/>
    <w:rsid w:val="0004251D"/>
    <w:rsid w:val="00044C34"/>
    <w:rsid w:val="00046CDD"/>
    <w:rsid w:val="000501FD"/>
    <w:rsid w:val="00050ABF"/>
    <w:rsid w:val="0005248E"/>
    <w:rsid w:val="000526A2"/>
    <w:rsid w:val="00054D2C"/>
    <w:rsid w:val="00057834"/>
    <w:rsid w:val="000606B8"/>
    <w:rsid w:val="00061B11"/>
    <w:rsid w:val="00062A62"/>
    <w:rsid w:val="000637E8"/>
    <w:rsid w:val="00064AC1"/>
    <w:rsid w:val="00064BAB"/>
    <w:rsid w:val="00064D1B"/>
    <w:rsid w:val="00064FD4"/>
    <w:rsid w:val="0006686E"/>
    <w:rsid w:val="00067426"/>
    <w:rsid w:val="0006743E"/>
    <w:rsid w:val="000674F9"/>
    <w:rsid w:val="00067BE5"/>
    <w:rsid w:val="00070072"/>
    <w:rsid w:val="0007038B"/>
    <w:rsid w:val="00070A6E"/>
    <w:rsid w:val="000710F3"/>
    <w:rsid w:val="000715EB"/>
    <w:rsid w:val="00072656"/>
    <w:rsid w:val="00073A64"/>
    <w:rsid w:val="00073C42"/>
    <w:rsid w:val="000745D6"/>
    <w:rsid w:val="0007538A"/>
    <w:rsid w:val="00075C53"/>
    <w:rsid w:val="000761C5"/>
    <w:rsid w:val="000762E2"/>
    <w:rsid w:val="000771FB"/>
    <w:rsid w:val="000777EF"/>
    <w:rsid w:val="00084299"/>
    <w:rsid w:val="00084541"/>
    <w:rsid w:val="00084A9A"/>
    <w:rsid w:val="00084E07"/>
    <w:rsid w:val="0008630D"/>
    <w:rsid w:val="00086C41"/>
    <w:rsid w:val="0009018E"/>
    <w:rsid w:val="0009145F"/>
    <w:rsid w:val="000938B4"/>
    <w:rsid w:val="00094926"/>
    <w:rsid w:val="0009598B"/>
    <w:rsid w:val="0009631F"/>
    <w:rsid w:val="00096DC8"/>
    <w:rsid w:val="00097C5C"/>
    <w:rsid w:val="00097CC2"/>
    <w:rsid w:val="000A0885"/>
    <w:rsid w:val="000A0CF2"/>
    <w:rsid w:val="000A11CE"/>
    <w:rsid w:val="000A167A"/>
    <w:rsid w:val="000A1802"/>
    <w:rsid w:val="000A4083"/>
    <w:rsid w:val="000A4D96"/>
    <w:rsid w:val="000A52DB"/>
    <w:rsid w:val="000A634F"/>
    <w:rsid w:val="000A7848"/>
    <w:rsid w:val="000B0D92"/>
    <w:rsid w:val="000B2ACA"/>
    <w:rsid w:val="000B2D3C"/>
    <w:rsid w:val="000B4584"/>
    <w:rsid w:val="000B4955"/>
    <w:rsid w:val="000B564D"/>
    <w:rsid w:val="000B5711"/>
    <w:rsid w:val="000B5AAA"/>
    <w:rsid w:val="000C080F"/>
    <w:rsid w:val="000C09DC"/>
    <w:rsid w:val="000C0D56"/>
    <w:rsid w:val="000C2EBB"/>
    <w:rsid w:val="000C4000"/>
    <w:rsid w:val="000C417D"/>
    <w:rsid w:val="000C57CF"/>
    <w:rsid w:val="000C6353"/>
    <w:rsid w:val="000C679E"/>
    <w:rsid w:val="000D11D6"/>
    <w:rsid w:val="000D25CE"/>
    <w:rsid w:val="000D2B09"/>
    <w:rsid w:val="000D303F"/>
    <w:rsid w:val="000D32AA"/>
    <w:rsid w:val="000D357C"/>
    <w:rsid w:val="000D3DB0"/>
    <w:rsid w:val="000D54A3"/>
    <w:rsid w:val="000D6E5C"/>
    <w:rsid w:val="000D7E3A"/>
    <w:rsid w:val="000E072A"/>
    <w:rsid w:val="000E27E5"/>
    <w:rsid w:val="000E3201"/>
    <w:rsid w:val="000E4A7C"/>
    <w:rsid w:val="000F1A02"/>
    <w:rsid w:val="000F471A"/>
    <w:rsid w:val="000F573B"/>
    <w:rsid w:val="000F6D88"/>
    <w:rsid w:val="00100037"/>
    <w:rsid w:val="00104072"/>
    <w:rsid w:val="0010601A"/>
    <w:rsid w:val="0010795B"/>
    <w:rsid w:val="00107A7B"/>
    <w:rsid w:val="00110148"/>
    <w:rsid w:val="00113A35"/>
    <w:rsid w:val="00114119"/>
    <w:rsid w:val="00114BCF"/>
    <w:rsid w:val="00115398"/>
    <w:rsid w:val="00117BBE"/>
    <w:rsid w:val="001201AD"/>
    <w:rsid w:val="00120388"/>
    <w:rsid w:val="00121857"/>
    <w:rsid w:val="0012350E"/>
    <w:rsid w:val="00123D8F"/>
    <w:rsid w:val="00123E09"/>
    <w:rsid w:val="00124459"/>
    <w:rsid w:val="0012763E"/>
    <w:rsid w:val="00131243"/>
    <w:rsid w:val="00131C28"/>
    <w:rsid w:val="00131F93"/>
    <w:rsid w:val="00133BBE"/>
    <w:rsid w:val="0013463D"/>
    <w:rsid w:val="00137560"/>
    <w:rsid w:val="00140743"/>
    <w:rsid w:val="00140D4D"/>
    <w:rsid w:val="00142C22"/>
    <w:rsid w:val="00145AFF"/>
    <w:rsid w:val="00145B0F"/>
    <w:rsid w:val="00146CB9"/>
    <w:rsid w:val="00147AA4"/>
    <w:rsid w:val="0015050C"/>
    <w:rsid w:val="00150A61"/>
    <w:rsid w:val="00153411"/>
    <w:rsid w:val="0015408F"/>
    <w:rsid w:val="001542B9"/>
    <w:rsid w:val="001547D0"/>
    <w:rsid w:val="00156F70"/>
    <w:rsid w:val="0015727D"/>
    <w:rsid w:val="00157B6E"/>
    <w:rsid w:val="0016106C"/>
    <w:rsid w:val="00162EF7"/>
    <w:rsid w:val="001650E8"/>
    <w:rsid w:val="00165B15"/>
    <w:rsid w:val="0016651F"/>
    <w:rsid w:val="0016677B"/>
    <w:rsid w:val="00170014"/>
    <w:rsid w:val="0017120D"/>
    <w:rsid w:val="0017222B"/>
    <w:rsid w:val="0017255D"/>
    <w:rsid w:val="001746DE"/>
    <w:rsid w:val="001754B4"/>
    <w:rsid w:val="00177AA2"/>
    <w:rsid w:val="0018044F"/>
    <w:rsid w:val="001804FA"/>
    <w:rsid w:val="0018188D"/>
    <w:rsid w:val="00181AA9"/>
    <w:rsid w:val="0018226A"/>
    <w:rsid w:val="00184935"/>
    <w:rsid w:val="00185AD0"/>
    <w:rsid w:val="001872F6"/>
    <w:rsid w:val="0018798E"/>
    <w:rsid w:val="00191406"/>
    <w:rsid w:val="00191BD6"/>
    <w:rsid w:val="00192CD7"/>
    <w:rsid w:val="00192E1D"/>
    <w:rsid w:val="00194B16"/>
    <w:rsid w:val="0019548C"/>
    <w:rsid w:val="00195DA3"/>
    <w:rsid w:val="001A05EB"/>
    <w:rsid w:val="001A2E50"/>
    <w:rsid w:val="001A2F76"/>
    <w:rsid w:val="001A5998"/>
    <w:rsid w:val="001A5DFF"/>
    <w:rsid w:val="001A5F55"/>
    <w:rsid w:val="001A7298"/>
    <w:rsid w:val="001A7424"/>
    <w:rsid w:val="001A7949"/>
    <w:rsid w:val="001A7C38"/>
    <w:rsid w:val="001B072D"/>
    <w:rsid w:val="001B08E2"/>
    <w:rsid w:val="001B1677"/>
    <w:rsid w:val="001B1BED"/>
    <w:rsid w:val="001B3B8D"/>
    <w:rsid w:val="001B3E89"/>
    <w:rsid w:val="001B5BDF"/>
    <w:rsid w:val="001B6F6B"/>
    <w:rsid w:val="001C097B"/>
    <w:rsid w:val="001C1B49"/>
    <w:rsid w:val="001C2223"/>
    <w:rsid w:val="001C4AD4"/>
    <w:rsid w:val="001C7438"/>
    <w:rsid w:val="001D0B89"/>
    <w:rsid w:val="001D1320"/>
    <w:rsid w:val="001D2C87"/>
    <w:rsid w:val="001D40E9"/>
    <w:rsid w:val="001D4F16"/>
    <w:rsid w:val="001D55DA"/>
    <w:rsid w:val="001D641F"/>
    <w:rsid w:val="001E03B6"/>
    <w:rsid w:val="001E1211"/>
    <w:rsid w:val="001E12AC"/>
    <w:rsid w:val="001E200C"/>
    <w:rsid w:val="001E2872"/>
    <w:rsid w:val="001E2E31"/>
    <w:rsid w:val="001E2FB7"/>
    <w:rsid w:val="001E36D1"/>
    <w:rsid w:val="001E4278"/>
    <w:rsid w:val="001E51A1"/>
    <w:rsid w:val="001E5F89"/>
    <w:rsid w:val="001E6AE9"/>
    <w:rsid w:val="001E7795"/>
    <w:rsid w:val="001F081A"/>
    <w:rsid w:val="001F18E4"/>
    <w:rsid w:val="001F1B97"/>
    <w:rsid w:val="001F31C9"/>
    <w:rsid w:val="001F378C"/>
    <w:rsid w:val="001F3D0C"/>
    <w:rsid w:val="001F7871"/>
    <w:rsid w:val="002000BD"/>
    <w:rsid w:val="00200A77"/>
    <w:rsid w:val="00201156"/>
    <w:rsid w:val="00201AE3"/>
    <w:rsid w:val="0020298B"/>
    <w:rsid w:val="002040C4"/>
    <w:rsid w:val="0020538D"/>
    <w:rsid w:val="00205C80"/>
    <w:rsid w:val="00205D83"/>
    <w:rsid w:val="00207BFA"/>
    <w:rsid w:val="002103F3"/>
    <w:rsid w:val="00211F31"/>
    <w:rsid w:val="00214CDF"/>
    <w:rsid w:val="00214D5F"/>
    <w:rsid w:val="002169D2"/>
    <w:rsid w:val="002178EC"/>
    <w:rsid w:val="00220F33"/>
    <w:rsid w:val="00222EB0"/>
    <w:rsid w:val="00223465"/>
    <w:rsid w:val="00223E21"/>
    <w:rsid w:val="00226203"/>
    <w:rsid w:val="00226FDE"/>
    <w:rsid w:val="0023113D"/>
    <w:rsid w:val="00231C9D"/>
    <w:rsid w:val="00233C6D"/>
    <w:rsid w:val="00234A5E"/>
    <w:rsid w:val="002377F3"/>
    <w:rsid w:val="00237E53"/>
    <w:rsid w:val="00241A93"/>
    <w:rsid w:val="002423DB"/>
    <w:rsid w:val="002467C7"/>
    <w:rsid w:val="00247B80"/>
    <w:rsid w:val="00251B08"/>
    <w:rsid w:val="00251C04"/>
    <w:rsid w:val="00252C89"/>
    <w:rsid w:val="002536FB"/>
    <w:rsid w:val="00253BE5"/>
    <w:rsid w:val="002559F5"/>
    <w:rsid w:val="00256CAD"/>
    <w:rsid w:val="00257C32"/>
    <w:rsid w:val="002617F4"/>
    <w:rsid w:val="00261E17"/>
    <w:rsid w:val="002628C0"/>
    <w:rsid w:val="002630E8"/>
    <w:rsid w:val="002634FD"/>
    <w:rsid w:val="00265A29"/>
    <w:rsid w:val="00266242"/>
    <w:rsid w:val="00266591"/>
    <w:rsid w:val="00267389"/>
    <w:rsid w:val="002716EB"/>
    <w:rsid w:val="00272690"/>
    <w:rsid w:val="002739D2"/>
    <w:rsid w:val="00273C2E"/>
    <w:rsid w:val="00274334"/>
    <w:rsid w:val="002772CE"/>
    <w:rsid w:val="0028050C"/>
    <w:rsid w:val="00281566"/>
    <w:rsid w:val="00282BEE"/>
    <w:rsid w:val="00287F16"/>
    <w:rsid w:val="00291599"/>
    <w:rsid w:val="00292915"/>
    <w:rsid w:val="00293721"/>
    <w:rsid w:val="002937AB"/>
    <w:rsid w:val="00294B64"/>
    <w:rsid w:val="00295201"/>
    <w:rsid w:val="0029576B"/>
    <w:rsid w:val="00295EA7"/>
    <w:rsid w:val="002973E2"/>
    <w:rsid w:val="002979DD"/>
    <w:rsid w:val="002A038B"/>
    <w:rsid w:val="002A1763"/>
    <w:rsid w:val="002A1C35"/>
    <w:rsid w:val="002A2E94"/>
    <w:rsid w:val="002A3EE7"/>
    <w:rsid w:val="002A49F6"/>
    <w:rsid w:val="002A5891"/>
    <w:rsid w:val="002A5DB5"/>
    <w:rsid w:val="002A676B"/>
    <w:rsid w:val="002A6922"/>
    <w:rsid w:val="002A7360"/>
    <w:rsid w:val="002A77EE"/>
    <w:rsid w:val="002B00A9"/>
    <w:rsid w:val="002B0197"/>
    <w:rsid w:val="002B1B19"/>
    <w:rsid w:val="002B30A9"/>
    <w:rsid w:val="002B3255"/>
    <w:rsid w:val="002B4D3F"/>
    <w:rsid w:val="002B5E8E"/>
    <w:rsid w:val="002B6D26"/>
    <w:rsid w:val="002C1701"/>
    <w:rsid w:val="002C39FC"/>
    <w:rsid w:val="002C419C"/>
    <w:rsid w:val="002C54E2"/>
    <w:rsid w:val="002C6140"/>
    <w:rsid w:val="002C657B"/>
    <w:rsid w:val="002C676E"/>
    <w:rsid w:val="002D1211"/>
    <w:rsid w:val="002D1F44"/>
    <w:rsid w:val="002D27E6"/>
    <w:rsid w:val="002D2F53"/>
    <w:rsid w:val="002D3847"/>
    <w:rsid w:val="002D3932"/>
    <w:rsid w:val="002D3A77"/>
    <w:rsid w:val="002D4FFD"/>
    <w:rsid w:val="002D76A4"/>
    <w:rsid w:val="002E2AB9"/>
    <w:rsid w:val="002E483C"/>
    <w:rsid w:val="002E493C"/>
    <w:rsid w:val="002E682B"/>
    <w:rsid w:val="002E7A46"/>
    <w:rsid w:val="002F0BE8"/>
    <w:rsid w:val="002F1985"/>
    <w:rsid w:val="002F29C3"/>
    <w:rsid w:val="002F3969"/>
    <w:rsid w:val="002F3C8C"/>
    <w:rsid w:val="002F4C9A"/>
    <w:rsid w:val="002F4DA3"/>
    <w:rsid w:val="002F5786"/>
    <w:rsid w:val="002F5BEB"/>
    <w:rsid w:val="002F6D17"/>
    <w:rsid w:val="002F70C1"/>
    <w:rsid w:val="002F7611"/>
    <w:rsid w:val="002F79E3"/>
    <w:rsid w:val="00300D67"/>
    <w:rsid w:val="00302973"/>
    <w:rsid w:val="00304C17"/>
    <w:rsid w:val="00306CBC"/>
    <w:rsid w:val="00310582"/>
    <w:rsid w:val="00310AF8"/>
    <w:rsid w:val="00310F80"/>
    <w:rsid w:val="0031234C"/>
    <w:rsid w:val="0031270F"/>
    <w:rsid w:val="0031284D"/>
    <w:rsid w:val="00313F10"/>
    <w:rsid w:val="003148E6"/>
    <w:rsid w:val="00314DA5"/>
    <w:rsid w:val="0031666E"/>
    <w:rsid w:val="00316DAC"/>
    <w:rsid w:val="00316EF7"/>
    <w:rsid w:val="0031750A"/>
    <w:rsid w:val="00320FA5"/>
    <w:rsid w:val="0032499A"/>
    <w:rsid w:val="00325373"/>
    <w:rsid w:val="003268A5"/>
    <w:rsid w:val="003319EC"/>
    <w:rsid w:val="00332124"/>
    <w:rsid w:val="003338EA"/>
    <w:rsid w:val="00334608"/>
    <w:rsid w:val="00335254"/>
    <w:rsid w:val="00336369"/>
    <w:rsid w:val="00337C3A"/>
    <w:rsid w:val="00340C18"/>
    <w:rsid w:val="00341921"/>
    <w:rsid w:val="00341B34"/>
    <w:rsid w:val="00343F88"/>
    <w:rsid w:val="00345658"/>
    <w:rsid w:val="00345928"/>
    <w:rsid w:val="00346152"/>
    <w:rsid w:val="00346D12"/>
    <w:rsid w:val="00350F4C"/>
    <w:rsid w:val="0035190D"/>
    <w:rsid w:val="0035372E"/>
    <w:rsid w:val="00353A6D"/>
    <w:rsid w:val="00354605"/>
    <w:rsid w:val="003548D8"/>
    <w:rsid w:val="00356711"/>
    <w:rsid w:val="00360729"/>
    <w:rsid w:val="00360AFE"/>
    <w:rsid w:val="003610C3"/>
    <w:rsid w:val="00361DCB"/>
    <w:rsid w:val="003621AD"/>
    <w:rsid w:val="003628D6"/>
    <w:rsid w:val="0036309B"/>
    <w:rsid w:val="00364162"/>
    <w:rsid w:val="00366341"/>
    <w:rsid w:val="0036784F"/>
    <w:rsid w:val="003711AF"/>
    <w:rsid w:val="003730F0"/>
    <w:rsid w:val="00373B08"/>
    <w:rsid w:val="0037451C"/>
    <w:rsid w:val="0037556B"/>
    <w:rsid w:val="00375F11"/>
    <w:rsid w:val="00376563"/>
    <w:rsid w:val="0037728D"/>
    <w:rsid w:val="003810F6"/>
    <w:rsid w:val="00381A16"/>
    <w:rsid w:val="00382A37"/>
    <w:rsid w:val="00383C0D"/>
    <w:rsid w:val="0038631E"/>
    <w:rsid w:val="00387F02"/>
    <w:rsid w:val="003908DB"/>
    <w:rsid w:val="00390E46"/>
    <w:rsid w:val="00391BFF"/>
    <w:rsid w:val="003929DF"/>
    <w:rsid w:val="003932A6"/>
    <w:rsid w:val="0039561E"/>
    <w:rsid w:val="003964EA"/>
    <w:rsid w:val="00396E28"/>
    <w:rsid w:val="003979DF"/>
    <w:rsid w:val="003A1950"/>
    <w:rsid w:val="003A3155"/>
    <w:rsid w:val="003A4ACF"/>
    <w:rsid w:val="003A4D5E"/>
    <w:rsid w:val="003A4E53"/>
    <w:rsid w:val="003A6A8F"/>
    <w:rsid w:val="003A6F2E"/>
    <w:rsid w:val="003A73D5"/>
    <w:rsid w:val="003A7530"/>
    <w:rsid w:val="003B0159"/>
    <w:rsid w:val="003B0A99"/>
    <w:rsid w:val="003B10E5"/>
    <w:rsid w:val="003B44BF"/>
    <w:rsid w:val="003B5327"/>
    <w:rsid w:val="003B5EFC"/>
    <w:rsid w:val="003B6268"/>
    <w:rsid w:val="003B72D3"/>
    <w:rsid w:val="003C0F4B"/>
    <w:rsid w:val="003C130A"/>
    <w:rsid w:val="003C136D"/>
    <w:rsid w:val="003C1B3F"/>
    <w:rsid w:val="003C6167"/>
    <w:rsid w:val="003C70B1"/>
    <w:rsid w:val="003C7285"/>
    <w:rsid w:val="003D12D4"/>
    <w:rsid w:val="003D2E2E"/>
    <w:rsid w:val="003D3EC1"/>
    <w:rsid w:val="003D5768"/>
    <w:rsid w:val="003E123C"/>
    <w:rsid w:val="003E27EC"/>
    <w:rsid w:val="003E2AC3"/>
    <w:rsid w:val="003E31EA"/>
    <w:rsid w:val="003E32C2"/>
    <w:rsid w:val="003E456C"/>
    <w:rsid w:val="003E5D75"/>
    <w:rsid w:val="003E60E5"/>
    <w:rsid w:val="003E673E"/>
    <w:rsid w:val="003F0DD3"/>
    <w:rsid w:val="003F21DC"/>
    <w:rsid w:val="003F2803"/>
    <w:rsid w:val="003F2DF9"/>
    <w:rsid w:val="003F4376"/>
    <w:rsid w:val="003F5EE4"/>
    <w:rsid w:val="003F6D7E"/>
    <w:rsid w:val="00401A7E"/>
    <w:rsid w:val="004027C3"/>
    <w:rsid w:val="00404224"/>
    <w:rsid w:val="00404E81"/>
    <w:rsid w:val="0040647F"/>
    <w:rsid w:val="00406684"/>
    <w:rsid w:val="00407765"/>
    <w:rsid w:val="0040799D"/>
    <w:rsid w:val="004102FA"/>
    <w:rsid w:val="00410752"/>
    <w:rsid w:val="004126B6"/>
    <w:rsid w:val="00412E5C"/>
    <w:rsid w:val="00412E6F"/>
    <w:rsid w:val="0041646A"/>
    <w:rsid w:val="00416A17"/>
    <w:rsid w:val="00416D2D"/>
    <w:rsid w:val="00417A2B"/>
    <w:rsid w:val="00417E2F"/>
    <w:rsid w:val="0042063A"/>
    <w:rsid w:val="00420D31"/>
    <w:rsid w:val="00422FDE"/>
    <w:rsid w:val="00425CAB"/>
    <w:rsid w:val="00426650"/>
    <w:rsid w:val="00426DF8"/>
    <w:rsid w:val="00427BDB"/>
    <w:rsid w:val="004313B3"/>
    <w:rsid w:val="0043191E"/>
    <w:rsid w:val="0043206E"/>
    <w:rsid w:val="0043232B"/>
    <w:rsid w:val="004323C2"/>
    <w:rsid w:val="00432B6D"/>
    <w:rsid w:val="004335DD"/>
    <w:rsid w:val="004348FA"/>
    <w:rsid w:val="00435D1B"/>
    <w:rsid w:val="004368F8"/>
    <w:rsid w:val="00437E69"/>
    <w:rsid w:val="004433BB"/>
    <w:rsid w:val="00445879"/>
    <w:rsid w:val="0045129E"/>
    <w:rsid w:val="00451675"/>
    <w:rsid w:val="00451DF9"/>
    <w:rsid w:val="00452423"/>
    <w:rsid w:val="00452A9C"/>
    <w:rsid w:val="00454B1C"/>
    <w:rsid w:val="00454C24"/>
    <w:rsid w:val="00454FD6"/>
    <w:rsid w:val="004556E6"/>
    <w:rsid w:val="004613EC"/>
    <w:rsid w:val="0046216E"/>
    <w:rsid w:val="00465AAE"/>
    <w:rsid w:val="00465B2B"/>
    <w:rsid w:val="00466CFE"/>
    <w:rsid w:val="00467A79"/>
    <w:rsid w:val="004710BC"/>
    <w:rsid w:val="00471F62"/>
    <w:rsid w:val="004725CF"/>
    <w:rsid w:val="004748C0"/>
    <w:rsid w:val="0047521A"/>
    <w:rsid w:val="0047548F"/>
    <w:rsid w:val="00476B59"/>
    <w:rsid w:val="004776CB"/>
    <w:rsid w:val="004777B1"/>
    <w:rsid w:val="004813D5"/>
    <w:rsid w:val="004814AD"/>
    <w:rsid w:val="004823B5"/>
    <w:rsid w:val="004830A9"/>
    <w:rsid w:val="00483C2B"/>
    <w:rsid w:val="004840A4"/>
    <w:rsid w:val="00487232"/>
    <w:rsid w:val="00487846"/>
    <w:rsid w:val="00490A6B"/>
    <w:rsid w:val="004915D3"/>
    <w:rsid w:val="00495038"/>
    <w:rsid w:val="0049508A"/>
    <w:rsid w:val="00495470"/>
    <w:rsid w:val="00495EB3"/>
    <w:rsid w:val="00496954"/>
    <w:rsid w:val="004969B9"/>
    <w:rsid w:val="004975B7"/>
    <w:rsid w:val="00497DFC"/>
    <w:rsid w:val="004A0790"/>
    <w:rsid w:val="004A07AB"/>
    <w:rsid w:val="004A0A70"/>
    <w:rsid w:val="004A16BE"/>
    <w:rsid w:val="004A28EE"/>
    <w:rsid w:val="004A5A8D"/>
    <w:rsid w:val="004A6DA4"/>
    <w:rsid w:val="004A7069"/>
    <w:rsid w:val="004B0621"/>
    <w:rsid w:val="004B0A62"/>
    <w:rsid w:val="004B1C24"/>
    <w:rsid w:val="004B2EB5"/>
    <w:rsid w:val="004B3B03"/>
    <w:rsid w:val="004B3C7A"/>
    <w:rsid w:val="004B68A9"/>
    <w:rsid w:val="004B7C05"/>
    <w:rsid w:val="004C0518"/>
    <w:rsid w:val="004C0C50"/>
    <w:rsid w:val="004C1D3B"/>
    <w:rsid w:val="004C1D55"/>
    <w:rsid w:val="004C21C7"/>
    <w:rsid w:val="004C3A4F"/>
    <w:rsid w:val="004C4D9B"/>
    <w:rsid w:val="004C51EA"/>
    <w:rsid w:val="004C5B32"/>
    <w:rsid w:val="004C68B1"/>
    <w:rsid w:val="004C69FF"/>
    <w:rsid w:val="004C7E35"/>
    <w:rsid w:val="004D1564"/>
    <w:rsid w:val="004D5B7C"/>
    <w:rsid w:val="004D6046"/>
    <w:rsid w:val="004D61BA"/>
    <w:rsid w:val="004D75C3"/>
    <w:rsid w:val="004D7B6E"/>
    <w:rsid w:val="004E0C69"/>
    <w:rsid w:val="004E17FA"/>
    <w:rsid w:val="004E1A2C"/>
    <w:rsid w:val="004E31BF"/>
    <w:rsid w:val="004E4AA6"/>
    <w:rsid w:val="004F0E53"/>
    <w:rsid w:val="004F2079"/>
    <w:rsid w:val="004F22E5"/>
    <w:rsid w:val="004F26C5"/>
    <w:rsid w:val="004F37F6"/>
    <w:rsid w:val="004F7588"/>
    <w:rsid w:val="005037A8"/>
    <w:rsid w:val="00503EDE"/>
    <w:rsid w:val="00503FC0"/>
    <w:rsid w:val="00506537"/>
    <w:rsid w:val="0050737B"/>
    <w:rsid w:val="0050752F"/>
    <w:rsid w:val="00507B03"/>
    <w:rsid w:val="00510100"/>
    <w:rsid w:val="005105EC"/>
    <w:rsid w:val="00510737"/>
    <w:rsid w:val="0051201B"/>
    <w:rsid w:val="005124FA"/>
    <w:rsid w:val="005127D9"/>
    <w:rsid w:val="00512836"/>
    <w:rsid w:val="00514F15"/>
    <w:rsid w:val="00515FE9"/>
    <w:rsid w:val="0052108C"/>
    <w:rsid w:val="005217F4"/>
    <w:rsid w:val="005240FF"/>
    <w:rsid w:val="005241B3"/>
    <w:rsid w:val="005255F9"/>
    <w:rsid w:val="0052643D"/>
    <w:rsid w:val="005309AB"/>
    <w:rsid w:val="00530E5B"/>
    <w:rsid w:val="00532FFB"/>
    <w:rsid w:val="005330A9"/>
    <w:rsid w:val="00533136"/>
    <w:rsid w:val="0053394F"/>
    <w:rsid w:val="00533960"/>
    <w:rsid w:val="005349AD"/>
    <w:rsid w:val="00542355"/>
    <w:rsid w:val="00542414"/>
    <w:rsid w:val="005439E2"/>
    <w:rsid w:val="0054436D"/>
    <w:rsid w:val="0054453C"/>
    <w:rsid w:val="00545090"/>
    <w:rsid w:val="00545278"/>
    <w:rsid w:val="00546138"/>
    <w:rsid w:val="0054636F"/>
    <w:rsid w:val="0055067D"/>
    <w:rsid w:val="0055126A"/>
    <w:rsid w:val="00551F53"/>
    <w:rsid w:val="00553E8C"/>
    <w:rsid w:val="005543DE"/>
    <w:rsid w:val="0055499C"/>
    <w:rsid w:val="00555170"/>
    <w:rsid w:val="0055666E"/>
    <w:rsid w:val="00556D4E"/>
    <w:rsid w:val="0056022D"/>
    <w:rsid w:val="00560688"/>
    <w:rsid w:val="005614AC"/>
    <w:rsid w:val="00561557"/>
    <w:rsid w:val="005616A1"/>
    <w:rsid w:val="00561C67"/>
    <w:rsid w:val="005638F2"/>
    <w:rsid w:val="005640FE"/>
    <w:rsid w:val="00565187"/>
    <w:rsid w:val="00565B1C"/>
    <w:rsid w:val="00565C3E"/>
    <w:rsid w:val="00567062"/>
    <w:rsid w:val="0056715C"/>
    <w:rsid w:val="005676CB"/>
    <w:rsid w:val="00567803"/>
    <w:rsid w:val="005678C3"/>
    <w:rsid w:val="00570597"/>
    <w:rsid w:val="00570797"/>
    <w:rsid w:val="00570B14"/>
    <w:rsid w:val="0057391A"/>
    <w:rsid w:val="00573F62"/>
    <w:rsid w:val="00577265"/>
    <w:rsid w:val="0057750F"/>
    <w:rsid w:val="0057786E"/>
    <w:rsid w:val="0058044F"/>
    <w:rsid w:val="00580BA2"/>
    <w:rsid w:val="005826CD"/>
    <w:rsid w:val="00582E96"/>
    <w:rsid w:val="0058682D"/>
    <w:rsid w:val="00586842"/>
    <w:rsid w:val="00586863"/>
    <w:rsid w:val="0059037C"/>
    <w:rsid w:val="0059068B"/>
    <w:rsid w:val="00591DC4"/>
    <w:rsid w:val="005959AA"/>
    <w:rsid w:val="00595D0A"/>
    <w:rsid w:val="00596735"/>
    <w:rsid w:val="00597A40"/>
    <w:rsid w:val="00597C7D"/>
    <w:rsid w:val="00597F85"/>
    <w:rsid w:val="005A0006"/>
    <w:rsid w:val="005A0167"/>
    <w:rsid w:val="005A038B"/>
    <w:rsid w:val="005A0709"/>
    <w:rsid w:val="005A0899"/>
    <w:rsid w:val="005A363F"/>
    <w:rsid w:val="005A5CD0"/>
    <w:rsid w:val="005A7EEE"/>
    <w:rsid w:val="005B29E6"/>
    <w:rsid w:val="005B2A98"/>
    <w:rsid w:val="005B3911"/>
    <w:rsid w:val="005B5116"/>
    <w:rsid w:val="005B756A"/>
    <w:rsid w:val="005B7B45"/>
    <w:rsid w:val="005C1720"/>
    <w:rsid w:val="005C370A"/>
    <w:rsid w:val="005C4E7B"/>
    <w:rsid w:val="005C5BEC"/>
    <w:rsid w:val="005C601F"/>
    <w:rsid w:val="005D008F"/>
    <w:rsid w:val="005D04EF"/>
    <w:rsid w:val="005D0E18"/>
    <w:rsid w:val="005D126E"/>
    <w:rsid w:val="005D1894"/>
    <w:rsid w:val="005D1AE9"/>
    <w:rsid w:val="005D3338"/>
    <w:rsid w:val="005D3ED6"/>
    <w:rsid w:val="005D49DE"/>
    <w:rsid w:val="005D6AF7"/>
    <w:rsid w:val="005D6B6C"/>
    <w:rsid w:val="005D6DCE"/>
    <w:rsid w:val="005E0DD3"/>
    <w:rsid w:val="005E101E"/>
    <w:rsid w:val="005E1517"/>
    <w:rsid w:val="005E321F"/>
    <w:rsid w:val="005E48BE"/>
    <w:rsid w:val="005E4F9A"/>
    <w:rsid w:val="005E79C1"/>
    <w:rsid w:val="005F01CF"/>
    <w:rsid w:val="005F1C02"/>
    <w:rsid w:val="005F1C49"/>
    <w:rsid w:val="005F2739"/>
    <w:rsid w:val="005F2D4C"/>
    <w:rsid w:val="005F30E1"/>
    <w:rsid w:val="005F3AD0"/>
    <w:rsid w:val="005F400E"/>
    <w:rsid w:val="005F5BCD"/>
    <w:rsid w:val="006003F2"/>
    <w:rsid w:val="00600E11"/>
    <w:rsid w:val="006013A1"/>
    <w:rsid w:val="00601867"/>
    <w:rsid w:val="006026A2"/>
    <w:rsid w:val="00603629"/>
    <w:rsid w:val="006036E6"/>
    <w:rsid w:val="00603934"/>
    <w:rsid w:val="00604108"/>
    <w:rsid w:val="006052EB"/>
    <w:rsid w:val="0060561C"/>
    <w:rsid w:val="006107AD"/>
    <w:rsid w:val="00612025"/>
    <w:rsid w:val="0061373F"/>
    <w:rsid w:val="006145EC"/>
    <w:rsid w:val="006148D5"/>
    <w:rsid w:val="00617ECB"/>
    <w:rsid w:val="00621B24"/>
    <w:rsid w:val="00622734"/>
    <w:rsid w:val="006227DB"/>
    <w:rsid w:val="006234D2"/>
    <w:rsid w:val="00626909"/>
    <w:rsid w:val="00626C01"/>
    <w:rsid w:val="006270DD"/>
    <w:rsid w:val="00630287"/>
    <w:rsid w:val="00631290"/>
    <w:rsid w:val="006338DB"/>
    <w:rsid w:val="006344E3"/>
    <w:rsid w:val="006368C8"/>
    <w:rsid w:val="00637875"/>
    <w:rsid w:val="00640B83"/>
    <w:rsid w:val="00641E66"/>
    <w:rsid w:val="0064212E"/>
    <w:rsid w:val="006430DE"/>
    <w:rsid w:val="00643DAE"/>
    <w:rsid w:val="006457DE"/>
    <w:rsid w:val="00647E2E"/>
    <w:rsid w:val="00651469"/>
    <w:rsid w:val="006516A6"/>
    <w:rsid w:val="006526E9"/>
    <w:rsid w:val="006535F9"/>
    <w:rsid w:val="00653B1D"/>
    <w:rsid w:val="00655B94"/>
    <w:rsid w:val="006566DE"/>
    <w:rsid w:val="006571B3"/>
    <w:rsid w:val="0066012B"/>
    <w:rsid w:val="0066237D"/>
    <w:rsid w:val="0066274B"/>
    <w:rsid w:val="00670373"/>
    <w:rsid w:val="00671CA7"/>
    <w:rsid w:val="00671DF5"/>
    <w:rsid w:val="006724D7"/>
    <w:rsid w:val="006757DC"/>
    <w:rsid w:val="00675DA8"/>
    <w:rsid w:val="00675E87"/>
    <w:rsid w:val="00676547"/>
    <w:rsid w:val="00677DAB"/>
    <w:rsid w:val="006813F1"/>
    <w:rsid w:val="00681A62"/>
    <w:rsid w:val="00681C8B"/>
    <w:rsid w:val="00683ACA"/>
    <w:rsid w:val="00684810"/>
    <w:rsid w:val="00686152"/>
    <w:rsid w:val="006861ED"/>
    <w:rsid w:val="00686DB3"/>
    <w:rsid w:val="006877A3"/>
    <w:rsid w:val="00687CA9"/>
    <w:rsid w:val="00690FCA"/>
    <w:rsid w:val="00692AF9"/>
    <w:rsid w:val="00693687"/>
    <w:rsid w:val="006937E5"/>
    <w:rsid w:val="00694426"/>
    <w:rsid w:val="00695B9B"/>
    <w:rsid w:val="006961F5"/>
    <w:rsid w:val="00697BF6"/>
    <w:rsid w:val="006A1D3E"/>
    <w:rsid w:val="006A4BED"/>
    <w:rsid w:val="006A55E9"/>
    <w:rsid w:val="006A5B54"/>
    <w:rsid w:val="006B0743"/>
    <w:rsid w:val="006B22BA"/>
    <w:rsid w:val="006B29C3"/>
    <w:rsid w:val="006B2C1B"/>
    <w:rsid w:val="006B35E6"/>
    <w:rsid w:val="006B51D0"/>
    <w:rsid w:val="006B51F3"/>
    <w:rsid w:val="006B56F2"/>
    <w:rsid w:val="006B6D4E"/>
    <w:rsid w:val="006B7036"/>
    <w:rsid w:val="006C1A16"/>
    <w:rsid w:val="006C2D10"/>
    <w:rsid w:val="006C3904"/>
    <w:rsid w:val="006C3947"/>
    <w:rsid w:val="006C3969"/>
    <w:rsid w:val="006C3F6B"/>
    <w:rsid w:val="006C4221"/>
    <w:rsid w:val="006C44B6"/>
    <w:rsid w:val="006C4967"/>
    <w:rsid w:val="006C4FA1"/>
    <w:rsid w:val="006C6397"/>
    <w:rsid w:val="006C719A"/>
    <w:rsid w:val="006D071E"/>
    <w:rsid w:val="006D0FCF"/>
    <w:rsid w:val="006D2ACA"/>
    <w:rsid w:val="006D2FB7"/>
    <w:rsid w:val="006D3AB7"/>
    <w:rsid w:val="006D3FB0"/>
    <w:rsid w:val="006D414A"/>
    <w:rsid w:val="006D48FA"/>
    <w:rsid w:val="006D4A9D"/>
    <w:rsid w:val="006D68FF"/>
    <w:rsid w:val="006E0437"/>
    <w:rsid w:val="006E0732"/>
    <w:rsid w:val="006E0B2D"/>
    <w:rsid w:val="006E24C0"/>
    <w:rsid w:val="006E24F2"/>
    <w:rsid w:val="006E6F10"/>
    <w:rsid w:val="006E783F"/>
    <w:rsid w:val="006F033E"/>
    <w:rsid w:val="006F1593"/>
    <w:rsid w:val="006F45BE"/>
    <w:rsid w:val="006F626A"/>
    <w:rsid w:val="006F65D6"/>
    <w:rsid w:val="006F6790"/>
    <w:rsid w:val="0070222B"/>
    <w:rsid w:val="007026B6"/>
    <w:rsid w:val="00703433"/>
    <w:rsid w:val="00703770"/>
    <w:rsid w:val="00703F11"/>
    <w:rsid w:val="00703F85"/>
    <w:rsid w:val="007054A3"/>
    <w:rsid w:val="007063CD"/>
    <w:rsid w:val="007065E1"/>
    <w:rsid w:val="007065FD"/>
    <w:rsid w:val="007111A7"/>
    <w:rsid w:val="0071136D"/>
    <w:rsid w:val="00711A09"/>
    <w:rsid w:val="007121DC"/>
    <w:rsid w:val="00713436"/>
    <w:rsid w:val="0071623F"/>
    <w:rsid w:val="0071695B"/>
    <w:rsid w:val="00716F65"/>
    <w:rsid w:val="007202D2"/>
    <w:rsid w:val="007215D5"/>
    <w:rsid w:val="007230F9"/>
    <w:rsid w:val="00725EFB"/>
    <w:rsid w:val="00731EFB"/>
    <w:rsid w:val="00732D30"/>
    <w:rsid w:val="00734A0E"/>
    <w:rsid w:val="00737A05"/>
    <w:rsid w:val="007402F2"/>
    <w:rsid w:val="00740748"/>
    <w:rsid w:val="00742A96"/>
    <w:rsid w:val="00742AC4"/>
    <w:rsid w:val="007438E2"/>
    <w:rsid w:val="00744408"/>
    <w:rsid w:val="00745B04"/>
    <w:rsid w:val="00745ED2"/>
    <w:rsid w:val="007465A7"/>
    <w:rsid w:val="00746A1D"/>
    <w:rsid w:val="00750491"/>
    <w:rsid w:val="00753FB7"/>
    <w:rsid w:val="0075410B"/>
    <w:rsid w:val="00754233"/>
    <w:rsid w:val="007551ED"/>
    <w:rsid w:val="0075628E"/>
    <w:rsid w:val="007574F8"/>
    <w:rsid w:val="00757E53"/>
    <w:rsid w:val="007601CF"/>
    <w:rsid w:val="007604EB"/>
    <w:rsid w:val="00760E64"/>
    <w:rsid w:val="00761166"/>
    <w:rsid w:val="00761EBB"/>
    <w:rsid w:val="00763D7B"/>
    <w:rsid w:val="00763FA4"/>
    <w:rsid w:val="00764082"/>
    <w:rsid w:val="00767D99"/>
    <w:rsid w:val="00771709"/>
    <w:rsid w:val="00771CF5"/>
    <w:rsid w:val="00772E08"/>
    <w:rsid w:val="0077369B"/>
    <w:rsid w:val="00773B7D"/>
    <w:rsid w:val="00773BE1"/>
    <w:rsid w:val="0077420E"/>
    <w:rsid w:val="00774C2C"/>
    <w:rsid w:val="00774CB8"/>
    <w:rsid w:val="00775FA6"/>
    <w:rsid w:val="00776CC1"/>
    <w:rsid w:val="0077782D"/>
    <w:rsid w:val="00777ABD"/>
    <w:rsid w:val="00780D63"/>
    <w:rsid w:val="00780E20"/>
    <w:rsid w:val="00781E8A"/>
    <w:rsid w:val="00783526"/>
    <w:rsid w:val="00786289"/>
    <w:rsid w:val="00786F52"/>
    <w:rsid w:val="00787A1B"/>
    <w:rsid w:val="00787AFB"/>
    <w:rsid w:val="00787C7B"/>
    <w:rsid w:val="00787E0E"/>
    <w:rsid w:val="00787E78"/>
    <w:rsid w:val="00790418"/>
    <w:rsid w:val="00790539"/>
    <w:rsid w:val="00792027"/>
    <w:rsid w:val="007927D5"/>
    <w:rsid w:val="00794294"/>
    <w:rsid w:val="007956DC"/>
    <w:rsid w:val="00795E00"/>
    <w:rsid w:val="00797EAC"/>
    <w:rsid w:val="007A0E58"/>
    <w:rsid w:val="007A2BFA"/>
    <w:rsid w:val="007A338A"/>
    <w:rsid w:val="007A33F7"/>
    <w:rsid w:val="007A5B14"/>
    <w:rsid w:val="007A5C5C"/>
    <w:rsid w:val="007A6AFB"/>
    <w:rsid w:val="007A7B92"/>
    <w:rsid w:val="007B0A39"/>
    <w:rsid w:val="007B252C"/>
    <w:rsid w:val="007B3B6B"/>
    <w:rsid w:val="007B4DB5"/>
    <w:rsid w:val="007B61FE"/>
    <w:rsid w:val="007B6F06"/>
    <w:rsid w:val="007B76B2"/>
    <w:rsid w:val="007B7E30"/>
    <w:rsid w:val="007C0E34"/>
    <w:rsid w:val="007C1480"/>
    <w:rsid w:val="007C1BB1"/>
    <w:rsid w:val="007C2681"/>
    <w:rsid w:val="007C306F"/>
    <w:rsid w:val="007C3A75"/>
    <w:rsid w:val="007C4EAF"/>
    <w:rsid w:val="007C52FA"/>
    <w:rsid w:val="007C62E5"/>
    <w:rsid w:val="007C6D5C"/>
    <w:rsid w:val="007C75B8"/>
    <w:rsid w:val="007D2432"/>
    <w:rsid w:val="007D32FF"/>
    <w:rsid w:val="007D3EE9"/>
    <w:rsid w:val="007D4993"/>
    <w:rsid w:val="007D4BD8"/>
    <w:rsid w:val="007D7BFA"/>
    <w:rsid w:val="007E1E80"/>
    <w:rsid w:val="007E31E7"/>
    <w:rsid w:val="007E3613"/>
    <w:rsid w:val="007E4747"/>
    <w:rsid w:val="007E6972"/>
    <w:rsid w:val="007E7305"/>
    <w:rsid w:val="007F0F62"/>
    <w:rsid w:val="007F1323"/>
    <w:rsid w:val="007F190D"/>
    <w:rsid w:val="007F2993"/>
    <w:rsid w:val="007F3904"/>
    <w:rsid w:val="007F765B"/>
    <w:rsid w:val="00802097"/>
    <w:rsid w:val="00804E3F"/>
    <w:rsid w:val="008058CF"/>
    <w:rsid w:val="008068FB"/>
    <w:rsid w:val="00807788"/>
    <w:rsid w:val="008078CA"/>
    <w:rsid w:val="00807A33"/>
    <w:rsid w:val="00807C3A"/>
    <w:rsid w:val="0081033D"/>
    <w:rsid w:val="008107A9"/>
    <w:rsid w:val="00810E0B"/>
    <w:rsid w:val="00812827"/>
    <w:rsid w:val="00812ADB"/>
    <w:rsid w:val="00812EFA"/>
    <w:rsid w:val="00815D5C"/>
    <w:rsid w:val="008160C7"/>
    <w:rsid w:val="00816F5D"/>
    <w:rsid w:val="00823331"/>
    <w:rsid w:val="00824982"/>
    <w:rsid w:val="00825478"/>
    <w:rsid w:val="0082661C"/>
    <w:rsid w:val="00826A99"/>
    <w:rsid w:val="00827E16"/>
    <w:rsid w:val="00830175"/>
    <w:rsid w:val="00832819"/>
    <w:rsid w:val="0083400E"/>
    <w:rsid w:val="00836860"/>
    <w:rsid w:val="00836B51"/>
    <w:rsid w:val="00837B05"/>
    <w:rsid w:val="00842CE5"/>
    <w:rsid w:val="008438C4"/>
    <w:rsid w:val="00844BB4"/>
    <w:rsid w:val="00850CA0"/>
    <w:rsid w:val="00850EEB"/>
    <w:rsid w:val="0085106F"/>
    <w:rsid w:val="00852017"/>
    <w:rsid w:val="00852631"/>
    <w:rsid w:val="00854032"/>
    <w:rsid w:val="00854216"/>
    <w:rsid w:val="00854E1D"/>
    <w:rsid w:val="008560C9"/>
    <w:rsid w:val="00856B34"/>
    <w:rsid w:val="00856D12"/>
    <w:rsid w:val="00856D20"/>
    <w:rsid w:val="0085719D"/>
    <w:rsid w:val="00857FEF"/>
    <w:rsid w:val="008601E6"/>
    <w:rsid w:val="008608A1"/>
    <w:rsid w:val="00861AE9"/>
    <w:rsid w:val="008635A2"/>
    <w:rsid w:val="008638F6"/>
    <w:rsid w:val="00863E7F"/>
    <w:rsid w:val="0086427F"/>
    <w:rsid w:val="00864FE1"/>
    <w:rsid w:val="008657C7"/>
    <w:rsid w:val="00866B45"/>
    <w:rsid w:val="0086799A"/>
    <w:rsid w:val="00867B9C"/>
    <w:rsid w:val="008731C6"/>
    <w:rsid w:val="008741D3"/>
    <w:rsid w:val="00874884"/>
    <w:rsid w:val="0087644D"/>
    <w:rsid w:val="0087695D"/>
    <w:rsid w:val="00880116"/>
    <w:rsid w:val="00880A20"/>
    <w:rsid w:val="0088135E"/>
    <w:rsid w:val="00881E45"/>
    <w:rsid w:val="00882F7E"/>
    <w:rsid w:val="00883502"/>
    <w:rsid w:val="008838E0"/>
    <w:rsid w:val="00884439"/>
    <w:rsid w:val="00886C8C"/>
    <w:rsid w:val="008905CC"/>
    <w:rsid w:val="00892CCA"/>
    <w:rsid w:val="008942CC"/>
    <w:rsid w:val="008948F3"/>
    <w:rsid w:val="00896407"/>
    <w:rsid w:val="00896748"/>
    <w:rsid w:val="0089706E"/>
    <w:rsid w:val="008A242B"/>
    <w:rsid w:val="008A28AF"/>
    <w:rsid w:val="008A2AE2"/>
    <w:rsid w:val="008A477C"/>
    <w:rsid w:val="008A4BDA"/>
    <w:rsid w:val="008A5164"/>
    <w:rsid w:val="008A616B"/>
    <w:rsid w:val="008A6804"/>
    <w:rsid w:val="008B050E"/>
    <w:rsid w:val="008B2553"/>
    <w:rsid w:val="008B333E"/>
    <w:rsid w:val="008B353F"/>
    <w:rsid w:val="008B3D27"/>
    <w:rsid w:val="008B4F2C"/>
    <w:rsid w:val="008B58D7"/>
    <w:rsid w:val="008B6D92"/>
    <w:rsid w:val="008C0B1F"/>
    <w:rsid w:val="008C0C01"/>
    <w:rsid w:val="008C1F14"/>
    <w:rsid w:val="008C218D"/>
    <w:rsid w:val="008C2BC4"/>
    <w:rsid w:val="008C31F6"/>
    <w:rsid w:val="008C4605"/>
    <w:rsid w:val="008C4D18"/>
    <w:rsid w:val="008C4ED1"/>
    <w:rsid w:val="008C582E"/>
    <w:rsid w:val="008C59AB"/>
    <w:rsid w:val="008C5C37"/>
    <w:rsid w:val="008C62B4"/>
    <w:rsid w:val="008C63EE"/>
    <w:rsid w:val="008C6620"/>
    <w:rsid w:val="008C6816"/>
    <w:rsid w:val="008C6DB6"/>
    <w:rsid w:val="008D0780"/>
    <w:rsid w:val="008D1C40"/>
    <w:rsid w:val="008D1FF0"/>
    <w:rsid w:val="008D31AD"/>
    <w:rsid w:val="008D4728"/>
    <w:rsid w:val="008D4C1B"/>
    <w:rsid w:val="008D51DE"/>
    <w:rsid w:val="008D5662"/>
    <w:rsid w:val="008D5CA5"/>
    <w:rsid w:val="008D5FDE"/>
    <w:rsid w:val="008D6217"/>
    <w:rsid w:val="008D6AF9"/>
    <w:rsid w:val="008E0B18"/>
    <w:rsid w:val="008E0C95"/>
    <w:rsid w:val="008E1D72"/>
    <w:rsid w:val="008E23DF"/>
    <w:rsid w:val="008E31D9"/>
    <w:rsid w:val="008E4D0F"/>
    <w:rsid w:val="008E5713"/>
    <w:rsid w:val="008E781B"/>
    <w:rsid w:val="008E7892"/>
    <w:rsid w:val="008E7DEC"/>
    <w:rsid w:val="008F0BDD"/>
    <w:rsid w:val="008F1FB8"/>
    <w:rsid w:val="008F2191"/>
    <w:rsid w:val="008F518A"/>
    <w:rsid w:val="008F575C"/>
    <w:rsid w:val="008F5F05"/>
    <w:rsid w:val="008F5FD9"/>
    <w:rsid w:val="008F602B"/>
    <w:rsid w:val="008F6558"/>
    <w:rsid w:val="008F710A"/>
    <w:rsid w:val="0090035B"/>
    <w:rsid w:val="009013A0"/>
    <w:rsid w:val="00904191"/>
    <w:rsid w:val="00906540"/>
    <w:rsid w:val="00906FF3"/>
    <w:rsid w:val="00907125"/>
    <w:rsid w:val="00907170"/>
    <w:rsid w:val="0091002B"/>
    <w:rsid w:val="009111B4"/>
    <w:rsid w:val="009115E9"/>
    <w:rsid w:val="00912FA7"/>
    <w:rsid w:val="009137DE"/>
    <w:rsid w:val="00914451"/>
    <w:rsid w:val="00914824"/>
    <w:rsid w:val="00914DD0"/>
    <w:rsid w:val="0091520E"/>
    <w:rsid w:val="009163BF"/>
    <w:rsid w:val="009212EF"/>
    <w:rsid w:val="00922BE3"/>
    <w:rsid w:val="00923CAC"/>
    <w:rsid w:val="0092452C"/>
    <w:rsid w:val="0092468A"/>
    <w:rsid w:val="00925A78"/>
    <w:rsid w:val="009261B1"/>
    <w:rsid w:val="00927223"/>
    <w:rsid w:val="00930EDC"/>
    <w:rsid w:val="00931D06"/>
    <w:rsid w:val="0093438B"/>
    <w:rsid w:val="00934A9D"/>
    <w:rsid w:val="00934D31"/>
    <w:rsid w:val="00935137"/>
    <w:rsid w:val="00935899"/>
    <w:rsid w:val="00935C19"/>
    <w:rsid w:val="009368C9"/>
    <w:rsid w:val="00943B20"/>
    <w:rsid w:val="009459CC"/>
    <w:rsid w:val="009477CE"/>
    <w:rsid w:val="00947EE1"/>
    <w:rsid w:val="00950D5A"/>
    <w:rsid w:val="00951D0F"/>
    <w:rsid w:val="00952852"/>
    <w:rsid w:val="009561E1"/>
    <w:rsid w:val="009600F5"/>
    <w:rsid w:val="00960B31"/>
    <w:rsid w:val="009618B1"/>
    <w:rsid w:val="00963114"/>
    <w:rsid w:val="00963C9A"/>
    <w:rsid w:val="0096472E"/>
    <w:rsid w:val="0096476C"/>
    <w:rsid w:val="009648E4"/>
    <w:rsid w:val="00966367"/>
    <w:rsid w:val="009679DB"/>
    <w:rsid w:val="0097019E"/>
    <w:rsid w:val="00970E51"/>
    <w:rsid w:val="009712DF"/>
    <w:rsid w:val="00971406"/>
    <w:rsid w:val="00971AE5"/>
    <w:rsid w:val="0097217D"/>
    <w:rsid w:val="009724FF"/>
    <w:rsid w:val="0097259D"/>
    <w:rsid w:val="0097321C"/>
    <w:rsid w:val="0097332C"/>
    <w:rsid w:val="00973C80"/>
    <w:rsid w:val="00973F81"/>
    <w:rsid w:val="009740F7"/>
    <w:rsid w:val="0097447F"/>
    <w:rsid w:val="00974B05"/>
    <w:rsid w:val="00975C45"/>
    <w:rsid w:val="00976351"/>
    <w:rsid w:val="009768B7"/>
    <w:rsid w:val="009777A6"/>
    <w:rsid w:val="00977DE8"/>
    <w:rsid w:val="00981590"/>
    <w:rsid w:val="00982CC3"/>
    <w:rsid w:val="00983EE3"/>
    <w:rsid w:val="00984961"/>
    <w:rsid w:val="00984E4D"/>
    <w:rsid w:val="00985C26"/>
    <w:rsid w:val="00986071"/>
    <w:rsid w:val="009874F6"/>
    <w:rsid w:val="0099014C"/>
    <w:rsid w:val="00991DB9"/>
    <w:rsid w:val="00994621"/>
    <w:rsid w:val="00994C70"/>
    <w:rsid w:val="00995F9D"/>
    <w:rsid w:val="00997BA7"/>
    <w:rsid w:val="00997E48"/>
    <w:rsid w:val="009A03F3"/>
    <w:rsid w:val="009A05B6"/>
    <w:rsid w:val="009A105A"/>
    <w:rsid w:val="009A10A8"/>
    <w:rsid w:val="009A164D"/>
    <w:rsid w:val="009A1D74"/>
    <w:rsid w:val="009A2030"/>
    <w:rsid w:val="009A264F"/>
    <w:rsid w:val="009A34E1"/>
    <w:rsid w:val="009A3FF6"/>
    <w:rsid w:val="009B050D"/>
    <w:rsid w:val="009B1296"/>
    <w:rsid w:val="009B2E2F"/>
    <w:rsid w:val="009B4CE0"/>
    <w:rsid w:val="009B50EB"/>
    <w:rsid w:val="009B7CF0"/>
    <w:rsid w:val="009C2819"/>
    <w:rsid w:val="009C37C3"/>
    <w:rsid w:val="009C5CB7"/>
    <w:rsid w:val="009C5DA8"/>
    <w:rsid w:val="009C5E80"/>
    <w:rsid w:val="009C69A2"/>
    <w:rsid w:val="009C72C1"/>
    <w:rsid w:val="009D01B9"/>
    <w:rsid w:val="009D0710"/>
    <w:rsid w:val="009D09D8"/>
    <w:rsid w:val="009D15E2"/>
    <w:rsid w:val="009D1AFD"/>
    <w:rsid w:val="009D1F03"/>
    <w:rsid w:val="009D2A2B"/>
    <w:rsid w:val="009D3435"/>
    <w:rsid w:val="009D4322"/>
    <w:rsid w:val="009D5697"/>
    <w:rsid w:val="009D5F81"/>
    <w:rsid w:val="009D748F"/>
    <w:rsid w:val="009D7592"/>
    <w:rsid w:val="009E23E3"/>
    <w:rsid w:val="009E7530"/>
    <w:rsid w:val="009F041A"/>
    <w:rsid w:val="009F07B5"/>
    <w:rsid w:val="009F335A"/>
    <w:rsid w:val="009F33E0"/>
    <w:rsid w:val="009F37A5"/>
    <w:rsid w:val="009F74A1"/>
    <w:rsid w:val="009F7AEC"/>
    <w:rsid w:val="00A00F7E"/>
    <w:rsid w:val="00A0138D"/>
    <w:rsid w:val="00A0468C"/>
    <w:rsid w:val="00A05840"/>
    <w:rsid w:val="00A05BF1"/>
    <w:rsid w:val="00A05C3A"/>
    <w:rsid w:val="00A05CDA"/>
    <w:rsid w:val="00A05F25"/>
    <w:rsid w:val="00A060B5"/>
    <w:rsid w:val="00A06144"/>
    <w:rsid w:val="00A07823"/>
    <w:rsid w:val="00A07854"/>
    <w:rsid w:val="00A1023E"/>
    <w:rsid w:val="00A10266"/>
    <w:rsid w:val="00A11A7C"/>
    <w:rsid w:val="00A12C22"/>
    <w:rsid w:val="00A13480"/>
    <w:rsid w:val="00A1412D"/>
    <w:rsid w:val="00A201AD"/>
    <w:rsid w:val="00A20B2F"/>
    <w:rsid w:val="00A20C20"/>
    <w:rsid w:val="00A20CE5"/>
    <w:rsid w:val="00A23E57"/>
    <w:rsid w:val="00A25672"/>
    <w:rsid w:val="00A25A2C"/>
    <w:rsid w:val="00A25B8A"/>
    <w:rsid w:val="00A25BAF"/>
    <w:rsid w:val="00A26C99"/>
    <w:rsid w:val="00A30580"/>
    <w:rsid w:val="00A30FEC"/>
    <w:rsid w:val="00A31199"/>
    <w:rsid w:val="00A31C66"/>
    <w:rsid w:val="00A342A6"/>
    <w:rsid w:val="00A37E34"/>
    <w:rsid w:val="00A40FA6"/>
    <w:rsid w:val="00A470C0"/>
    <w:rsid w:val="00A5061B"/>
    <w:rsid w:val="00A509D9"/>
    <w:rsid w:val="00A51E2F"/>
    <w:rsid w:val="00A52867"/>
    <w:rsid w:val="00A53E77"/>
    <w:rsid w:val="00A54A79"/>
    <w:rsid w:val="00A54D13"/>
    <w:rsid w:val="00A560BE"/>
    <w:rsid w:val="00A5725C"/>
    <w:rsid w:val="00A602AB"/>
    <w:rsid w:val="00A6095C"/>
    <w:rsid w:val="00A6219C"/>
    <w:rsid w:val="00A637DE"/>
    <w:rsid w:val="00A6591D"/>
    <w:rsid w:val="00A65C2D"/>
    <w:rsid w:val="00A66535"/>
    <w:rsid w:val="00A67E09"/>
    <w:rsid w:val="00A709EA"/>
    <w:rsid w:val="00A71E62"/>
    <w:rsid w:val="00A71E86"/>
    <w:rsid w:val="00A7276C"/>
    <w:rsid w:val="00A72C6A"/>
    <w:rsid w:val="00A73E54"/>
    <w:rsid w:val="00A740D7"/>
    <w:rsid w:val="00A74292"/>
    <w:rsid w:val="00A74FE0"/>
    <w:rsid w:val="00A7659A"/>
    <w:rsid w:val="00A765D4"/>
    <w:rsid w:val="00A76869"/>
    <w:rsid w:val="00A775A3"/>
    <w:rsid w:val="00A80925"/>
    <w:rsid w:val="00A81071"/>
    <w:rsid w:val="00A81277"/>
    <w:rsid w:val="00A83640"/>
    <w:rsid w:val="00A8477E"/>
    <w:rsid w:val="00A8648C"/>
    <w:rsid w:val="00A86809"/>
    <w:rsid w:val="00A868E4"/>
    <w:rsid w:val="00A91B7A"/>
    <w:rsid w:val="00A92791"/>
    <w:rsid w:val="00A93652"/>
    <w:rsid w:val="00A968F2"/>
    <w:rsid w:val="00A974C7"/>
    <w:rsid w:val="00A97E3D"/>
    <w:rsid w:val="00AA0299"/>
    <w:rsid w:val="00AA0D4F"/>
    <w:rsid w:val="00AA52D4"/>
    <w:rsid w:val="00AA53AA"/>
    <w:rsid w:val="00AA615D"/>
    <w:rsid w:val="00AA724B"/>
    <w:rsid w:val="00AA725C"/>
    <w:rsid w:val="00AA76E8"/>
    <w:rsid w:val="00AB0692"/>
    <w:rsid w:val="00AB07F0"/>
    <w:rsid w:val="00AB0A37"/>
    <w:rsid w:val="00AB153B"/>
    <w:rsid w:val="00AB1833"/>
    <w:rsid w:val="00AB37B3"/>
    <w:rsid w:val="00AB41D1"/>
    <w:rsid w:val="00AB44D6"/>
    <w:rsid w:val="00AB49D8"/>
    <w:rsid w:val="00AB529B"/>
    <w:rsid w:val="00AB603B"/>
    <w:rsid w:val="00AB6A5A"/>
    <w:rsid w:val="00AB704C"/>
    <w:rsid w:val="00AC08B0"/>
    <w:rsid w:val="00AC0B97"/>
    <w:rsid w:val="00AC0E37"/>
    <w:rsid w:val="00AC13F7"/>
    <w:rsid w:val="00AC1E73"/>
    <w:rsid w:val="00AC427C"/>
    <w:rsid w:val="00AC4D47"/>
    <w:rsid w:val="00AC5424"/>
    <w:rsid w:val="00AC5EF0"/>
    <w:rsid w:val="00AC720E"/>
    <w:rsid w:val="00AD0845"/>
    <w:rsid w:val="00AD21F0"/>
    <w:rsid w:val="00AD2395"/>
    <w:rsid w:val="00AD2EDA"/>
    <w:rsid w:val="00AD3AE8"/>
    <w:rsid w:val="00AD3F7D"/>
    <w:rsid w:val="00AD4950"/>
    <w:rsid w:val="00AE0EA5"/>
    <w:rsid w:val="00AE16A2"/>
    <w:rsid w:val="00AE18BB"/>
    <w:rsid w:val="00AE1BA6"/>
    <w:rsid w:val="00AE2E05"/>
    <w:rsid w:val="00AE31B0"/>
    <w:rsid w:val="00AE3548"/>
    <w:rsid w:val="00AE3BDD"/>
    <w:rsid w:val="00AE42B0"/>
    <w:rsid w:val="00AE506C"/>
    <w:rsid w:val="00AE68C4"/>
    <w:rsid w:val="00AE7264"/>
    <w:rsid w:val="00AE7B75"/>
    <w:rsid w:val="00AE7E69"/>
    <w:rsid w:val="00AF08F7"/>
    <w:rsid w:val="00AF19B1"/>
    <w:rsid w:val="00AF1F8E"/>
    <w:rsid w:val="00AF20C6"/>
    <w:rsid w:val="00AF25A2"/>
    <w:rsid w:val="00AF4434"/>
    <w:rsid w:val="00AF5B43"/>
    <w:rsid w:val="00AF6216"/>
    <w:rsid w:val="00B00B55"/>
    <w:rsid w:val="00B00E2E"/>
    <w:rsid w:val="00B0151F"/>
    <w:rsid w:val="00B01A32"/>
    <w:rsid w:val="00B01DA3"/>
    <w:rsid w:val="00B01E07"/>
    <w:rsid w:val="00B03BB0"/>
    <w:rsid w:val="00B03EA6"/>
    <w:rsid w:val="00B060BC"/>
    <w:rsid w:val="00B06131"/>
    <w:rsid w:val="00B101FB"/>
    <w:rsid w:val="00B10D1D"/>
    <w:rsid w:val="00B11542"/>
    <w:rsid w:val="00B11BE4"/>
    <w:rsid w:val="00B13904"/>
    <w:rsid w:val="00B1648E"/>
    <w:rsid w:val="00B166CF"/>
    <w:rsid w:val="00B177C3"/>
    <w:rsid w:val="00B205C4"/>
    <w:rsid w:val="00B23297"/>
    <w:rsid w:val="00B254E6"/>
    <w:rsid w:val="00B2599F"/>
    <w:rsid w:val="00B2694F"/>
    <w:rsid w:val="00B27C32"/>
    <w:rsid w:val="00B30A78"/>
    <w:rsid w:val="00B311EB"/>
    <w:rsid w:val="00B314F7"/>
    <w:rsid w:val="00B31598"/>
    <w:rsid w:val="00B3270A"/>
    <w:rsid w:val="00B32BA5"/>
    <w:rsid w:val="00B33A35"/>
    <w:rsid w:val="00B34B4E"/>
    <w:rsid w:val="00B35266"/>
    <w:rsid w:val="00B354A1"/>
    <w:rsid w:val="00B363B5"/>
    <w:rsid w:val="00B364AB"/>
    <w:rsid w:val="00B36E99"/>
    <w:rsid w:val="00B37519"/>
    <w:rsid w:val="00B40011"/>
    <w:rsid w:val="00B41F97"/>
    <w:rsid w:val="00B41FD7"/>
    <w:rsid w:val="00B4200B"/>
    <w:rsid w:val="00B44169"/>
    <w:rsid w:val="00B44835"/>
    <w:rsid w:val="00B46954"/>
    <w:rsid w:val="00B46F9D"/>
    <w:rsid w:val="00B478FA"/>
    <w:rsid w:val="00B47F5C"/>
    <w:rsid w:val="00B50CCC"/>
    <w:rsid w:val="00B516CC"/>
    <w:rsid w:val="00B51FDB"/>
    <w:rsid w:val="00B528D6"/>
    <w:rsid w:val="00B537D5"/>
    <w:rsid w:val="00B543A2"/>
    <w:rsid w:val="00B5456E"/>
    <w:rsid w:val="00B55710"/>
    <w:rsid w:val="00B607E2"/>
    <w:rsid w:val="00B60A5B"/>
    <w:rsid w:val="00B60C7E"/>
    <w:rsid w:val="00B61156"/>
    <w:rsid w:val="00B6171B"/>
    <w:rsid w:val="00B627E3"/>
    <w:rsid w:val="00B63EA1"/>
    <w:rsid w:val="00B65573"/>
    <w:rsid w:val="00B659C4"/>
    <w:rsid w:val="00B66A2C"/>
    <w:rsid w:val="00B67269"/>
    <w:rsid w:val="00B70CA7"/>
    <w:rsid w:val="00B7115F"/>
    <w:rsid w:val="00B732E8"/>
    <w:rsid w:val="00B737B1"/>
    <w:rsid w:val="00B73B79"/>
    <w:rsid w:val="00B7542C"/>
    <w:rsid w:val="00B75F84"/>
    <w:rsid w:val="00B7642B"/>
    <w:rsid w:val="00B77AD7"/>
    <w:rsid w:val="00B806A7"/>
    <w:rsid w:val="00B80BE8"/>
    <w:rsid w:val="00B81052"/>
    <w:rsid w:val="00B81B19"/>
    <w:rsid w:val="00B82566"/>
    <w:rsid w:val="00B861CC"/>
    <w:rsid w:val="00B904B0"/>
    <w:rsid w:val="00B906E1"/>
    <w:rsid w:val="00B90CDA"/>
    <w:rsid w:val="00B9190F"/>
    <w:rsid w:val="00B926C9"/>
    <w:rsid w:val="00B931EA"/>
    <w:rsid w:val="00B93F74"/>
    <w:rsid w:val="00B944E4"/>
    <w:rsid w:val="00B9463B"/>
    <w:rsid w:val="00B94C76"/>
    <w:rsid w:val="00B951F3"/>
    <w:rsid w:val="00B96001"/>
    <w:rsid w:val="00B97A99"/>
    <w:rsid w:val="00B97AC4"/>
    <w:rsid w:val="00BA230F"/>
    <w:rsid w:val="00BA2BC4"/>
    <w:rsid w:val="00BA4EF7"/>
    <w:rsid w:val="00BA5A2E"/>
    <w:rsid w:val="00BA64CC"/>
    <w:rsid w:val="00BA6545"/>
    <w:rsid w:val="00BA6A96"/>
    <w:rsid w:val="00BA7084"/>
    <w:rsid w:val="00BA787F"/>
    <w:rsid w:val="00BA7C7E"/>
    <w:rsid w:val="00BB0D03"/>
    <w:rsid w:val="00BB1A40"/>
    <w:rsid w:val="00BB1DBC"/>
    <w:rsid w:val="00BB274D"/>
    <w:rsid w:val="00BB338F"/>
    <w:rsid w:val="00BB41DA"/>
    <w:rsid w:val="00BB4268"/>
    <w:rsid w:val="00BB467F"/>
    <w:rsid w:val="00BB49D0"/>
    <w:rsid w:val="00BB539F"/>
    <w:rsid w:val="00BB53A8"/>
    <w:rsid w:val="00BB67F4"/>
    <w:rsid w:val="00BB680D"/>
    <w:rsid w:val="00BB6DFB"/>
    <w:rsid w:val="00BB6E37"/>
    <w:rsid w:val="00BB7EEE"/>
    <w:rsid w:val="00BC0008"/>
    <w:rsid w:val="00BC0DBF"/>
    <w:rsid w:val="00BC1380"/>
    <w:rsid w:val="00BC1632"/>
    <w:rsid w:val="00BC16C8"/>
    <w:rsid w:val="00BC1BA3"/>
    <w:rsid w:val="00BC35C9"/>
    <w:rsid w:val="00BC39EA"/>
    <w:rsid w:val="00BC3B43"/>
    <w:rsid w:val="00BC69FF"/>
    <w:rsid w:val="00BC6E7B"/>
    <w:rsid w:val="00BC78C5"/>
    <w:rsid w:val="00BC7B1D"/>
    <w:rsid w:val="00BC7F08"/>
    <w:rsid w:val="00BD0850"/>
    <w:rsid w:val="00BD282E"/>
    <w:rsid w:val="00BD3B30"/>
    <w:rsid w:val="00BD6951"/>
    <w:rsid w:val="00BE017F"/>
    <w:rsid w:val="00BE0CBC"/>
    <w:rsid w:val="00BE16DC"/>
    <w:rsid w:val="00BE1748"/>
    <w:rsid w:val="00BE2103"/>
    <w:rsid w:val="00BE31B6"/>
    <w:rsid w:val="00BE4392"/>
    <w:rsid w:val="00BE6AB9"/>
    <w:rsid w:val="00BE7E7A"/>
    <w:rsid w:val="00BF01D0"/>
    <w:rsid w:val="00BF0F2A"/>
    <w:rsid w:val="00BF101E"/>
    <w:rsid w:val="00BF1D35"/>
    <w:rsid w:val="00BF25AC"/>
    <w:rsid w:val="00BF3CD7"/>
    <w:rsid w:val="00BF40B4"/>
    <w:rsid w:val="00BF67CB"/>
    <w:rsid w:val="00BF6B60"/>
    <w:rsid w:val="00BF7138"/>
    <w:rsid w:val="00C01A76"/>
    <w:rsid w:val="00C02186"/>
    <w:rsid w:val="00C0282A"/>
    <w:rsid w:val="00C04907"/>
    <w:rsid w:val="00C06A4F"/>
    <w:rsid w:val="00C07E8D"/>
    <w:rsid w:val="00C10A0D"/>
    <w:rsid w:val="00C11FCF"/>
    <w:rsid w:val="00C12128"/>
    <w:rsid w:val="00C147C0"/>
    <w:rsid w:val="00C1609C"/>
    <w:rsid w:val="00C1719E"/>
    <w:rsid w:val="00C178D9"/>
    <w:rsid w:val="00C20146"/>
    <w:rsid w:val="00C20C91"/>
    <w:rsid w:val="00C21A3F"/>
    <w:rsid w:val="00C21F47"/>
    <w:rsid w:val="00C24269"/>
    <w:rsid w:val="00C25CB7"/>
    <w:rsid w:val="00C2670F"/>
    <w:rsid w:val="00C26909"/>
    <w:rsid w:val="00C27876"/>
    <w:rsid w:val="00C302E1"/>
    <w:rsid w:val="00C30878"/>
    <w:rsid w:val="00C34D50"/>
    <w:rsid w:val="00C35FE7"/>
    <w:rsid w:val="00C360FE"/>
    <w:rsid w:val="00C3704B"/>
    <w:rsid w:val="00C374A4"/>
    <w:rsid w:val="00C37829"/>
    <w:rsid w:val="00C3786C"/>
    <w:rsid w:val="00C40408"/>
    <w:rsid w:val="00C4134C"/>
    <w:rsid w:val="00C4221B"/>
    <w:rsid w:val="00C4231C"/>
    <w:rsid w:val="00C4275D"/>
    <w:rsid w:val="00C42F96"/>
    <w:rsid w:val="00C43143"/>
    <w:rsid w:val="00C43F87"/>
    <w:rsid w:val="00C44307"/>
    <w:rsid w:val="00C446EB"/>
    <w:rsid w:val="00C44A4D"/>
    <w:rsid w:val="00C45088"/>
    <w:rsid w:val="00C508A4"/>
    <w:rsid w:val="00C50B3C"/>
    <w:rsid w:val="00C532FF"/>
    <w:rsid w:val="00C53C8E"/>
    <w:rsid w:val="00C54E0F"/>
    <w:rsid w:val="00C55BD2"/>
    <w:rsid w:val="00C56414"/>
    <w:rsid w:val="00C56E6C"/>
    <w:rsid w:val="00C573B7"/>
    <w:rsid w:val="00C6032E"/>
    <w:rsid w:val="00C60CE6"/>
    <w:rsid w:val="00C61302"/>
    <w:rsid w:val="00C61619"/>
    <w:rsid w:val="00C6405C"/>
    <w:rsid w:val="00C647F9"/>
    <w:rsid w:val="00C66DAE"/>
    <w:rsid w:val="00C71128"/>
    <w:rsid w:val="00C727D6"/>
    <w:rsid w:val="00C73273"/>
    <w:rsid w:val="00C736E5"/>
    <w:rsid w:val="00C7453A"/>
    <w:rsid w:val="00C76A95"/>
    <w:rsid w:val="00C76C94"/>
    <w:rsid w:val="00C76F8A"/>
    <w:rsid w:val="00C772F4"/>
    <w:rsid w:val="00C77556"/>
    <w:rsid w:val="00C77826"/>
    <w:rsid w:val="00C77F3E"/>
    <w:rsid w:val="00C80FBD"/>
    <w:rsid w:val="00C81E99"/>
    <w:rsid w:val="00C8273F"/>
    <w:rsid w:val="00C8551B"/>
    <w:rsid w:val="00C85C99"/>
    <w:rsid w:val="00C86583"/>
    <w:rsid w:val="00C9330F"/>
    <w:rsid w:val="00C93B23"/>
    <w:rsid w:val="00C94972"/>
    <w:rsid w:val="00C94E70"/>
    <w:rsid w:val="00C96051"/>
    <w:rsid w:val="00C96461"/>
    <w:rsid w:val="00C968E8"/>
    <w:rsid w:val="00CA1436"/>
    <w:rsid w:val="00CA2E30"/>
    <w:rsid w:val="00CA459D"/>
    <w:rsid w:val="00CA4667"/>
    <w:rsid w:val="00CA6669"/>
    <w:rsid w:val="00CA6965"/>
    <w:rsid w:val="00CA7E2B"/>
    <w:rsid w:val="00CB08C5"/>
    <w:rsid w:val="00CB12BB"/>
    <w:rsid w:val="00CB2AFA"/>
    <w:rsid w:val="00CB4C09"/>
    <w:rsid w:val="00CB61F0"/>
    <w:rsid w:val="00CB7166"/>
    <w:rsid w:val="00CC0C29"/>
    <w:rsid w:val="00CC1E52"/>
    <w:rsid w:val="00CC27B6"/>
    <w:rsid w:val="00CC27EA"/>
    <w:rsid w:val="00CC2C57"/>
    <w:rsid w:val="00CC2D13"/>
    <w:rsid w:val="00CC341D"/>
    <w:rsid w:val="00CC361A"/>
    <w:rsid w:val="00CC3CF0"/>
    <w:rsid w:val="00CC3E4C"/>
    <w:rsid w:val="00CC4258"/>
    <w:rsid w:val="00CC459B"/>
    <w:rsid w:val="00CC6B5C"/>
    <w:rsid w:val="00CD2722"/>
    <w:rsid w:val="00CD2D60"/>
    <w:rsid w:val="00CD2F2E"/>
    <w:rsid w:val="00CD3917"/>
    <w:rsid w:val="00CD3C50"/>
    <w:rsid w:val="00CD412C"/>
    <w:rsid w:val="00CD564C"/>
    <w:rsid w:val="00CD5A33"/>
    <w:rsid w:val="00CD6FC5"/>
    <w:rsid w:val="00CE1110"/>
    <w:rsid w:val="00CE2ACB"/>
    <w:rsid w:val="00CE3FE8"/>
    <w:rsid w:val="00CE5D1D"/>
    <w:rsid w:val="00CE6547"/>
    <w:rsid w:val="00CF0CCD"/>
    <w:rsid w:val="00CF1EE7"/>
    <w:rsid w:val="00CF2197"/>
    <w:rsid w:val="00CF29D9"/>
    <w:rsid w:val="00CF3468"/>
    <w:rsid w:val="00CF5761"/>
    <w:rsid w:val="00CF5B5D"/>
    <w:rsid w:val="00CF5CB4"/>
    <w:rsid w:val="00CF5D0F"/>
    <w:rsid w:val="00CF5E56"/>
    <w:rsid w:val="00CF69C0"/>
    <w:rsid w:val="00CF6EC7"/>
    <w:rsid w:val="00CF709C"/>
    <w:rsid w:val="00CF7458"/>
    <w:rsid w:val="00CF7692"/>
    <w:rsid w:val="00CF7DD7"/>
    <w:rsid w:val="00CF7FE2"/>
    <w:rsid w:val="00CF7FE6"/>
    <w:rsid w:val="00D0038D"/>
    <w:rsid w:val="00D0096C"/>
    <w:rsid w:val="00D00E26"/>
    <w:rsid w:val="00D0296E"/>
    <w:rsid w:val="00D04A93"/>
    <w:rsid w:val="00D04FC0"/>
    <w:rsid w:val="00D0784C"/>
    <w:rsid w:val="00D104DD"/>
    <w:rsid w:val="00D10D16"/>
    <w:rsid w:val="00D12BDF"/>
    <w:rsid w:val="00D12CC5"/>
    <w:rsid w:val="00D135EC"/>
    <w:rsid w:val="00D15384"/>
    <w:rsid w:val="00D15E9F"/>
    <w:rsid w:val="00D17454"/>
    <w:rsid w:val="00D20B0B"/>
    <w:rsid w:val="00D21458"/>
    <w:rsid w:val="00D22A9B"/>
    <w:rsid w:val="00D22B52"/>
    <w:rsid w:val="00D254D1"/>
    <w:rsid w:val="00D26737"/>
    <w:rsid w:val="00D26B75"/>
    <w:rsid w:val="00D26B7C"/>
    <w:rsid w:val="00D26EDE"/>
    <w:rsid w:val="00D308C9"/>
    <w:rsid w:val="00D31BEA"/>
    <w:rsid w:val="00D31E05"/>
    <w:rsid w:val="00D32674"/>
    <w:rsid w:val="00D327F1"/>
    <w:rsid w:val="00D3672F"/>
    <w:rsid w:val="00D37D82"/>
    <w:rsid w:val="00D439D4"/>
    <w:rsid w:val="00D441BF"/>
    <w:rsid w:val="00D4494C"/>
    <w:rsid w:val="00D44B86"/>
    <w:rsid w:val="00D4517F"/>
    <w:rsid w:val="00D45440"/>
    <w:rsid w:val="00D502FF"/>
    <w:rsid w:val="00D50701"/>
    <w:rsid w:val="00D50B40"/>
    <w:rsid w:val="00D50DC7"/>
    <w:rsid w:val="00D5287C"/>
    <w:rsid w:val="00D55ED0"/>
    <w:rsid w:val="00D56710"/>
    <w:rsid w:val="00D61043"/>
    <w:rsid w:val="00D61F83"/>
    <w:rsid w:val="00D62C9D"/>
    <w:rsid w:val="00D63593"/>
    <w:rsid w:val="00D6632E"/>
    <w:rsid w:val="00D67BF9"/>
    <w:rsid w:val="00D707C1"/>
    <w:rsid w:val="00D70A24"/>
    <w:rsid w:val="00D71076"/>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CEB"/>
    <w:rsid w:val="00D85773"/>
    <w:rsid w:val="00D86122"/>
    <w:rsid w:val="00D86668"/>
    <w:rsid w:val="00D86DAE"/>
    <w:rsid w:val="00D8715F"/>
    <w:rsid w:val="00D913E5"/>
    <w:rsid w:val="00D91A5C"/>
    <w:rsid w:val="00D93BD9"/>
    <w:rsid w:val="00D944BE"/>
    <w:rsid w:val="00D94C76"/>
    <w:rsid w:val="00DA1A6F"/>
    <w:rsid w:val="00DA28E6"/>
    <w:rsid w:val="00DA5B1D"/>
    <w:rsid w:val="00DA6012"/>
    <w:rsid w:val="00DA76E4"/>
    <w:rsid w:val="00DA79ED"/>
    <w:rsid w:val="00DA7C22"/>
    <w:rsid w:val="00DB0A67"/>
    <w:rsid w:val="00DB1784"/>
    <w:rsid w:val="00DB179E"/>
    <w:rsid w:val="00DB250E"/>
    <w:rsid w:val="00DB261D"/>
    <w:rsid w:val="00DB3196"/>
    <w:rsid w:val="00DB32F7"/>
    <w:rsid w:val="00DB4D9A"/>
    <w:rsid w:val="00DB534F"/>
    <w:rsid w:val="00DB5B12"/>
    <w:rsid w:val="00DB5D33"/>
    <w:rsid w:val="00DB6419"/>
    <w:rsid w:val="00DB6928"/>
    <w:rsid w:val="00DB6DCE"/>
    <w:rsid w:val="00DC07C9"/>
    <w:rsid w:val="00DC09B0"/>
    <w:rsid w:val="00DC0C2D"/>
    <w:rsid w:val="00DC32C3"/>
    <w:rsid w:val="00DC4C96"/>
    <w:rsid w:val="00DC4D9E"/>
    <w:rsid w:val="00DC5A99"/>
    <w:rsid w:val="00DC607A"/>
    <w:rsid w:val="00DC622D"/>
    <w:rsid w:val="00DC7CBD"/>
    <w:rsid w:val="00DD0300"/>
    <w:rsid w:val="00DD267D"/>
    <w:rsid w:val="00DD27DD"/>
    <w:rsid w:val="00DD2CA0"/>
    <w:rsid w:val="00DD4202"/>
    <w:rsid w:val="00DD4627"/>
    <w:rsid w:val="00DD486F"/>
    <w:rsid w:val="00DD6BE3"/>
    <w:rsid w:val="00DD701F"/>
    <w:rsid w:val="00DD707B"/>
    <w:rsid w:val="00DD722E"/>
    <w:rsid w:val="00DD76CA"/>
    <w:rsid w:val="00DE1BAB"/>
    <w:rsid w:val="00DE3566"/>
    <w:rsid w:val="00DE482B"/>
    <w:rsid w:val="00DE4E6E"/>
    <w:rsid w:val="00DE5E94"/>
    <w:rsid w:val="00DE677E"/>
    <w:rsid w:val="00DE6FBF"/>
    <w:rsid w:val="00DE72D5"/>
    <w:rsid w:val="00DE76EB"/>
    <w:rsid w:val="00DF0AA7"/>
    <w:rsid w:val="00DF1F2E"/>
    <w:rsid w:val="00DF33D0"/>
    <w:rsid w:val="00DF3C26"/>
    <w:rsid w:val="00DF4489"/>
    <w:rsid w:val="00DF4B88"/>
    <w:rsid w:val="00DF502E"/>
    <w:rsid w:val="00DF51F5"/>
    <w:rsid w:val="00DF55E3"/>
    <w:rsid w:val="00DF5B94"/>
    <w:rsid w:val="00DF6507"/>
    <w:rsid w:val="00DF6E86"/>
    <w:rsid w:val="00DF6FAC"/>
    <w:rsid w:val="00DF7422"/>
    <w:rsid w:val="00DF74E8"/>
    <w:rsid w:val="00E00910"/>
    <w:rsid w:val="00E01906"/>
    <w:rsid w:val="00E03D7E"/>
    <w:rsid w:val="00E050BE"/>
    <w:rsid w:val="00E0606A"/>
    <w:rsid w:val="00E06DC1"/>
    <w:rsid w:val="00E0785A"/>
    <w:rsid w:val="00E07DD3"/>
    <w:rsid w:val="00E10CC4"/>
    <w:rsid w:val="00E12409"/>
    <w:rsid w:val="00E12AC2"/>
    <w:rsid w:val="00E1386D"/>
    <w:rsid w:val="00E13ED1"/>
    <w:rsid w:val="00E150BC"/>
    <w:rsid w:val="00E174C0"/>
    <w:rsid w:val="00E17B55"/>
    <w:rsid w:val="00E20B82"/>
    <w:rsid w:val="00E227D7"/>
    <w:rsid w:val="00E228CC"/>
    <w:rsid w:val="00E232B0"/>
    <w:rsid w:val="00E23892"/>
    <w:rsid w:val="00E23C02"/>
    <w:rsid w:val="00E25D17"/>
    <w:rsid w:val="00E26A10"/>
    <w:rsid w:val="00E27465"/>
    <w:rsid w:val="00E30AE3"/>
    <w:rsid w:val="00E31F0E"/>
    <w:rsid w:val="00E3347A"/>
    <w:rsid w:val="00E339EE"/>
    <w:rsid w:val="00E34115"/>
    <w:rsid w:val="00E34FDE"/>
    <w:rsid w:val="00E35789"/>
    <w:rsid w:val="00E36A2C"/>
    <w:rsid w:val="00E375A8"/>
    <w:rsid w:val="00E3797B"/>
    <w:rsid w:val="00E41443"/>
    <w:rsid w:val="00E424B1"/>
    <w:rsid w:val="00E42A08"/>
    <w:rsid w:val="00E43F45"/>
    <w:rsid w:val="00E44581"/>
    <w:rsid w:val="00E45676"/>
    <w:rsid w:val="00E465FC"/>
    <w:rsid w:val="00E4669B"/>
    <w:rsid w:val="00E46B98"/>
    <w:rsid w:val="00E513C4"/>
    <w:rsid w:val="00E51D74"/>
    <w:rsid w:val="00E529FC"/>
    <w:rsid w:val="00E5360B"/>
    <w:rsid w:val="00E53F5F"/>
    <w:rsid w:val="00E54450"/>
    <w:rsid w:val="00E54986"/>
    <w:rsid w:val="00E55966"/>
    <w:rsid w:val="00E563C6"/>
    <w:rsid w:val="00E56B82"/>
    <w:rsid w:val="00E57F00"/>
    <w:rsid w:val="00E613DA"/>
    <w:rsid w:val="00E61A8F"/>
    <w:rsid w:val="00E61B2F"/>
    <w:rsid w:val="00E621EA"/>
    <w:rsid w:val="00E62363"/>
    <w:rsid w:val="00E65AD7"/>
    <w:rsid w:val="00E65EE1"/>
    <w:rsid w:val="00E66510"/>
    <w:rsid w:val="00E667E7"/>
    <w:rsid w:val="00E67F02"/>
    <w:rsid w:val="00E70942"/>
    <w:rsid w:val="00E7178E"/>
    <w:rsid w:val="00E71D78"/>
    <w:rsid w:val="00E724FF"/>
    <w:rsid w:val="00E74581"/>
    <w:rsid w:val="00E7491B"/>
    <w:rsid w:val="00E75A3E"/>
    <w:rsid w:val="00E8006C"/>
    <w:rsid w:val="00E83947"/>
    <w:rsid w:val="00E83ABD"/>
    <w:rsid w:val="00E84199"/>
    <w:rsid w:val="00E8526B"/>
    <w:rsid w:val="00E8572A"/>
    <w:rsid w:val="00E92236"/>
    <w:rsid w:val="00E93346"/>
    <w:rsid w:val="00E95673"/>
    <w:rsid w:val="00E96453"/>
    <w:rsid w:val="00EA01F3"/>
    <w:rsid w:val="00EA0595"/>
    <w:rsid w:val="00EA1EA5"/>
    <w:rsid w:val="00EA253B"/>
    <w:rsid w:val="00EA311D"/>
    <w:rsid w:val="00EA64E3"/>
    <w:rsid w:val="00EA6668"/>
    <w:rsid w:val="00EB45D2"/>
    <w:rsid w:val="00EB46FA"/>
    <w:rsid w:val="00EB78CF"/>
    <w:rsid w:val="00EB7EF5"/>
    <w:rsid w:val="00EC3200"/>
    <w:rsid w:val="00EC48A5"/>
    <w:rsid w:val="00EC4BC2"/>
    <w:rsid w:val="00EC56CB"/>
    <w:rsid w:val="00ED0196"/>
    <w:rsid w:val="00ED0490"/>
    <w:rsid w:val="00ED1857"/>
    <w:rsid w:val="00ED26C0"/>
    <w:rsid w:val="00ED465A"/>
    <w:rsid w:val="00ED5151"/>
    <w:rsid w:val="00ED542C"/>
    <w:rsid w:val="00ED5751"/>
    <w:rsid w:val="00ED5CBF"/>
    <w:rsid w:val="00ED6BF1"/>
    <w:rsid w:val="00EE1A32"/>
    <w:rsid w:val="00EE1C97"/>
    <w:rsid w:val="00EE252A"/>
    <w:rsid w:val="00EE356D"/>
    <w:rsid w:val="00EE3DDC"/>
    <w:rsid w:val="00EE3E4B"/>
    <w:rsid w:val="00EE664C"/>
    <w:rsid w:val="00EE67BF"/>
    <w:rsid w:val="00EE76B7"/>
    <w:rsid w:val="00EE7960"/>
    <w:rsid w:val="00EE7AEB"/>
    <w:rsid w:val="00EF10EF"/>
    <w:rsid w:val="00EF1366"/>
    <w:rsid w:val="00EF1F86"/>
    <w:rsid w:val="00EF281C"/>
    <w:rsid w:val="00EF2B15"/>
    <w:rsid w:val="00EF2E6F"/>
    <w:rsid w:val="00EF3C73"/>
    <w:rsid w:val="00EF3D90"/>
    <w:rsid w:val="00EF483E"/>
    <w:rsid w:val="00EF4ABA"/>
    <w:rsid w:val="00EF5CC2"/>
    <w:rsid w:val="00EF60A1"/>
    <w:rsid w:val="00EF781A"/>
    <w:rsid w:val="00F016DD"/>
    <w:rsid w:val="00F0347E"/>
    <w:rsid w:val="00F034EF"/>
    <w:rsid w:val="00F0434A"/>
    <w:rsid w:val="00F04406"/>
    <w:rsid w:val="00F053C7"/>
    <w:rsid w:val="00F05AC0"/>
    <w:rsid w:val="00F06E7D"/>
    <w:rsid w:val="00F06E98"/>
    <w:rsid w:val="00F073D0"/>
    <w:rsid w:val="00F10982"/>
    <w:rsid w:val="00F10D48"/>
    <w:rsid w:val="00F113EA"/>
    <w:rsid w:val="00F119B8"/>
    <w:rsid w:val="00F12512"/>
    <w:rsid w:val="00F137DE"/>
    <w:rsid w:val="00F1452F"/>
    <w:rsid w:val="00F154EF"/>
    <w:rsid w:val="00F15D46"/>
    <w:rsid w:val="00F211B3"/>
    <w:rsid w:val="00F21327"/>
    <w:rsid w:val="00F22391"/>
    <w:rsid w:val="00F23732"/>
    <w:rsid w:val="00F265E7"/>
    <w:rsid w:val="00F27386"/>
    <w:rsid w:val="00F27964"/>
    <w:rsid w:val="00F300F6"/>
    <w:rsid w:val="00F31CAB"/>
    <w:rsid w:val="00F31DD9"/>
    <w:rsid w:val="00F346CB"/>
    <w:rsid w:val="00F35413"/>
    <w:rsid w:val="00F37C79"/>
    <w:rsid w:val="00F412D4"/>
    <w:rsid w:val="00F41E05"/>
    <w:rsid w:val="00F42F5F"/>
    <w:rsid w:val="00F43AB0"/>
    <w:rsid w:val="00F443D2"/>
    <w:rsid w:val="00F46FF3"/>
    <w:rsid w:val="00F47879"/>
    <w:rsid w:val="00F50462"/>
    <w:rsid w:val="00F50B90"/>
    <w:rsid w:val="00F519CA"/>
    <w:rsid w:val="00F51DE0"/>
    <w:rsid w:val="00F51E9B"/>
    <w:rsid w:val="00F52CB4"/>
    <w:rsid w:val="00F534C2"/>
    <w:rsid w:val="00F539C9"/>
    <w:rsid w:val="00F53CEB"/>
    <w:rsid w:val="00F55BBB"/>
    <w:rsid w:val="00F57F8C"/>
    <w:rsid w:val="00F62680"/>
    <w:rsid w:val="00F637FA"/>
    <w:rsid w:val="00F642B1"/>
    <w:rsid w:val="00F64F8A"/>
    <w:rsid w:val="00F660E8"/>
    <w:rsid w:val="00F668F9"/>
    <w:rsid w:val="00F67340"/>
    <w:rsid w:val="00F674A7"/>
    <w:rsid w:val="00F70730"/>
    <w:rsid w:val="00F708E0"/>
    <w:rsid w:val="00F723BA"/>
    <w:rsid w:val="00F7458D"/>
    <w:rsid w:val="00F75627"/>
    <w:rsid w:val="00F75BFF"/>
    <w:rsid w:val="00F77891"/>
    <w:rsid w:val="00F77ACC"/>
    <w:rsid w:val="00F77D64"/>
    <w:rsid w:val="00F77FEE"/>
    <w:rsid w:val="00F81441"/>
    <w:rsid w:val="00F8152C"/>
    <w:rsid w:val="00F838C6"/>
    <w:rsid w:val="00F839A4"/>
    <w:rsid w:val="00F83C5A"/>
    <w:rsid w:val="00F856AC"/>
    <w:rsid w:val="00F862D5"/>
    <w:rsid w:val="00F91BAD"/>
    <w:rsid w:val="00F92FCE"/>
    <w:rsid w:val="00F9368C"/>
    <w:rsid w:val="00F960E4"/>
    <w:rsid w:val="00F96950"/>
    <w:rsid w:val="00F96DD3"/>
    <w:rsid w:val="00FA2626"/>
    <w:rsid w:val="00FA28BF"/>
    <w:rsid w:val="00FA2C3B"/>
    <w:rsid w:val="00FA2E16"/>
    <w:rsid w:val="00FA2E84"/>
    <w:rsid w:val="00FA42F6"/>
    <w:rsid w:val="00FA5987"/>
    <w:rsid w:val="00FB0331"/>
    <w:rsid w:val="00FB0365"/>
    <w:rsid w:val="00FB120A"/>
    <w:rsid w:val="00FB1880"/>
    <w:rsid w:val="00FB1E58"/>
    <w:rsid w:val="00FB3025"/>
    <w:rsid w:val="00FB34A9"/>
    <w:rsid w:val="00FB41A2"/>
    <w:rsid w:val="00FB4347"/>
    <w:rsid w:val="00FB4793"/>
    <w:rsid w:val="00FB47EA"/>
    <w:rsid w:val="00FB4E0F"/>
    <w:rsid w:val="00FB57D5"/>
    <w:rsid w:val="00FB5FFC"/>
    <w:rsid w:val="00FB600E"/>
    <w:rsid w:val="00FB651E"/>
    <w:rsid w:val="00FB6833"/>
    <w:rsid w:val="00FC0695"/>
    <w:rsid w:val="00FC0E88"/>
    <w:rsid w:val="00FC11E2"/>
    <w:rsid w:val="00FC144A"/>
    <w:rsid w:val="00FC3AC3"/>
    <w:rsid w:val="00FC3E52"/>
    <w:rsid w:val="00FC5E6B"/>
    <w:rsid w:val="00FC6EF9"/>
    <w:rsid w:val="00FC7830"/>
    <w:rsid w:val="00FC79D2"/>
    <w:rsid w:val="00FD06F9"/>
    <w:rsid w:val="00FD3629"/>
    <w:rsid w:val="00FD4F03"/>
    <w:rsid w:val="00FD5EDF"/>
    <w:rsid w:val="00FD68EC"/>
    <w:rsid w:val="00FE18A0"/>
    <w:rsid w:val="00FE3D7F"/>
    <w:rsid w:val="00FE51D3"/>
    <w:rsid w:val="00FE5430"/>
    <w:rsid w:val="00FE54DD"/>
    <w:rsid w:val="00FE77ED"/>
    <w:rsid w:val="00FE7F86"/>
    <w:rsid w:val="00FF248E"/>
    <w:rsid w:val="00FF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986855624">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2FD61BB1-5796-4DB8-AE85-AC649C3064E3}">
  <ds:schemaRefs>
    <ds:schemaRef ds:uri="http://schemas.openxmlformats.org/officeDocument/2006/bibliography"/>
  </ds:schemaRefs>
</ds:datastoreItem>
</file>

<file path=customXml/itemProps2.xml><?xml version="1.0" encoding="utf-8"?>
<ds:datastoreItem xmlns:ds="http://schemas.openxmlformats.org/officeDocument/2006/customXml" ds:itemID="{16F8EF6E-0173-4DC5-9EFB-5E52A6461B2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(CED)</cp:lastModifiedBy>
  <cp:revision>2</cp:revision>
  <cp:lastPrinted>2022-11-25T11:16:00Z</cp:lastPrinted>
  <dcterms:created xsi:type="dcterms:W3CDTF">2023-01-23T15:05:00Z</dcterms:created>
  <dcterms:modified xsi:type="dcterms:W3CDTF">2023-01-23T15:05:00Z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63d0210b-9dd8-4f09-adda-e8f0ff41ed81</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